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B2A40" w14:textId="2DBFC467" w:rsidR="002D52BC" w:rsidRPr="002D52BC" w:rsidRDefault="0063779A" w:rsidP="002D52BC">
      <w:pPr>
        <w:spacing w:before="2" w:after="57" w:line="317" w:lineRule="exact"/>
        <w:jc w:val="center"/>
        <w:textAlignment w:val="baseline"/>
        <w:rPr>
          <w:rFonts w:ascii="Georgia" w:eastAsia="Times New Roman" w:hAnsi="Georgia"/>
          <w:color w:val="000000"/>
          <w:spacing w:val="-1"/>
          <w:sz w:val="28"/>
        </w:rPr>
      </w:pPr>
      <w:r>
        <w:rPr>
          <w:rFonts w:ascii="Georgia" w:eastAsia="Times New Roman" w:hAnsi="Georgia"/>
          <w:color w:val="000000"/>
          <w:spacing w:val="-1"/>
          <w:sz w:val="28"/>
        </w:rPr>
        <w:t xml:space="preserve">Video Course </w:t>
      </w:r>
      <w:r w:rsidR="002D52BC" w:rsidRPr="002D52BC">
        <w:rPr>
          <w:rFonts w:ascii="Georgia" w:eastAsia="Times New Roman" w:hAnsi="Georgia"/>
          <w:color w:val="000000"/>
          <w:spacing w:val="-1"/>
          <w:sz w:val="28"/>
        </w:rPr>
        <w:t xml:space="preserve">Session </w:t>
      </w:r>
      <w:r w:rsidR="006D30DD">
        <w:rPr>
          <w:rFonts w:ascii="Georgia" w:eastAsia="Times New Roman" w:hAnsi="Georgia"/>
          <w:color w:val="000000"/>
          <w:spacing w:val="-1"/>
          <w:sz w:val="28"/>
        </w:rPr>
        <w:t>4</w:t>
      </w:r>
      <w:r>
        <w:rPr>
          <w:rFonts w:ascii="Georgia" w:eastAsia="Times New Roman" w:hAnsi="Georgia"/>
          <w:color w:val="000000"/>
          <w:spacing w:val="-1"/>
          <w:sz w:val="28"/>
        </w:rPr>
        <w:t xml:space="preserve">:  </w:t>
      </w:r>
      <w:r w:rsidR="006E1C13">
        <w:rPr>
          <w:rFonts w:ascii="Georgia" w:eastAsia="Times New Roman" w:hAnsi="Georgia"/>
          <w:color w:val="000000"/>
          <w:spacing w:val="-1"/>
          <w:sz w:val="28"/>
        </w:rPr>
        <w:t>Family Engagement</w:t>
      </w:r>
    </w:p>
    <w:p w14:paraId="70CF90BC" w14:textId="77777777" w:rsidR="0001031E" w:rsidRDefault="002D52BC" w:rsidP="0001031E">
      <w:pPr>
        <w:pStyle w:val="ListParagraph"/>
        <w:numPr>
          <w:ilvl w:val="0"/>
          <w:numId w:val="11"/>
        </w:numPr>
        <w:spacing w:before="756" w:line="370" w:lineRule="exact"/>
        <w:ind w:right="72"/>
        <w:textAlignment w:val="baseline"/>
        <w:rPr>
          <w:rFonts w:ascii="Georgia" w:eastAsia="Times New Roman" w:hAnsi="Georgia"/>
          <w:color w:val="000000"/>
          <w:sz w:val="24"/>
          <w:szCs w:val="24"/>
        </w:rPr>
      </w:pPr>
      <w:r w:rsidRPr="00270A8E">
        <w:rPr>
          <w:rFonts w:ascii="Georgia" w:hAnsi="Georgia"/>
          <w:noProof/>
          <w:sz w:val="24"/>
          <w:szCs w:val="24"/>
        </w:rPr>
        <mc:AlternateContent>
          <mc:Choice Requires="wps">
            <w:drawing>
              <wp:anchor distT="0" distB="0" distL="114300" distR="114300" simplePos="0" relativeHeight="251662336" behindDoc="0" locked="0" layoutInCell="1" allowOverlap="1" wp14:anchorId="2D51E56F" wp14:editId="39DBA61F">
                <wp:simplePos x="0" y="0"/>
                <wp:positionH relativeFrom="page">
                  <wp:posOffset>829310</wp:posOffset>
                </wp:positionH>
                <wp:positionV relativeFrom="page">
                  <wp:posOffset>1127760</wp:posOffset>
                </wp:positionV>
                <wp:extent cx="5944235" cy="0"/>
                <wp:effectExtent l="10160" t="13335" r="17780" b="1524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4235" cy="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78A63"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3pt,88.8pt" to="533.35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wwd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" strokeweight="1.45pt">
                <w10:wrap anchorx="page" anchory="page"/>
              </v:line>
            </w:pict>
          </mc:Fallback>
        </mc:AlternateContent>
      </w:r>
      <w:r w:rsidR="0001031E">
        <w:rPr>
          <w:rFonts w:ascii="Georgia" w:eastAsia="Times New Roman" w:hAnsi="Georgia"/>
          <w:color w:val="000000"/>
          <w:sz w:val="24"/>
          <w:szCs w:val="24"/>
        </w:rPr>
        <w:t xml:space="preserve">Page 1:  Review the content on the page.  </w:t>
      </w:r>
    </w:p>
    <w:p w14:paraId="733C1903" w14:textId="73AC11E0" w:rsidR="002D128B" w:rsidRPr="006E1C13" w:rsidRDefault="002D128B" w:rsidP="006E1C13">
      <w:pPr>
        <w:pStyle w:val="ListParagraph"/>
        <w:numPr>
          <w:ilvl w:val="0"/>
          <w:numId w:val="11"/>
        </w:numPr>
        <w:spacing w:before="756" w:line="370" w:lineRule="exact"/>
        <w:ind w:right="72"/>
        <w:textAlignment w:val="baseline"/>
        <w:rPr>
          <w:rFonts w:ascii="Georgia" w:eastAsia="Times New Roman" w:hAnsi="Georgia"/>
          <w:sz w:val="24"/>
          <w:szCs w:val="24"/>
        </w:rPr>
      </w:pPr>
      <w:r w:rsidRPr="006E1C13">
        <w:rPr>
          <w:rFonts w:ascii="Georgia" w:eastAsia="Times New Roman" w:hAnsi="Georgia"/>
          <w:color w:val="000000"/>
          <w:sz w:val="24"/>
          <w:szCs w:val="24"/>
        </w:rPr>
        <w:t xml:space="preserve">Page 2:  </w:t>
      </w:r>
      <w:r w:rsidR="006E1C13" w:rsidRPr="006E1C13">
        <w:rPr>
          <w:rFonts w:ascii="Georgia" w:eastAsiaTheme="minorEastAsia" w:hAnsi="Georgia" w:cstheme="minorBidi"/>
          <w:kern w:val="24"/>
          <w:sz w:val="24"/>
          <w:szCs w:val="24"/>
        </w:rPr>
        <w:t>Go over the introduction which are also the objectives for the session.</w:t>
      </w:r>
    </w:p>
    <w:p w14:paraId="4ADC8C87" w14:textId="5402B41B" w:rsidR="0015780A" w:rsidRDefault="006E1C13" w:rsidP="006E1C13">
      <w:pPr>
        <w:pStyle w:val="ListParagraph"/>
        <w:numPr>
          <w:ilvl w:val="1"/>
          <w:numId w:val="11"/>
        </w:numPr>
        <w:rPr>
          <w:rFonts w:ascii="Georgia" w:hAnsi="Georgia"/>
          <w:sz w:val="24"/>
          <w:szCs w:val="24"/>
        </w:rPr>
      </w:pPr>
      <w:r w:rsidRPr="006E1C13">
        <w:rPr>
          <w:rFonts w:ascii="Georgia" w:hAnsi="Georgia"/>
          <w:sz w:val="24"/>
          <w:szCs w:val="24"/>
        </w:rPr>
        <w:t>Emphasize the universality of stress within families but highlight that not all stress negatively impacts children.</w:t>
      </w:r>
    </w:p>
    <w:p w14:paraId="6A298B41" w14:textId="77777777" w:rsidR="006E1C13" w:rsidRPr="006E1C13" w:rsidRDefault="006E1C13" w:rsidP="006E1C13">
      <w:pPr>
        <w:pStyle w:val="ListParagraph"/>
        <w:ind w:left="1800"/>
        <w:rPr>
          <w:rFonts w:ascii="Georgia" w:hAnsi="Georgia"/>
          <w:sz w:val="24"/>
          <w:szCs w:val="24"/>
        </w:rPr>
      </w:pPr>
    </w:p>
    <w:p w14:paraId="14E00E44" w14:textId="16C6AD0C" w:rsidR="002D52BC" w:rsidRPr="006E1C13" w:rsidRDefault="002D128B" w:rsidP="00FF66B7">
      <w:pPr>
        <w:pStyle w:val="ListParagraph"/>
        <w:numPr>
          <w:ilvl w:val="0"/>
          <w:numId w:val="11"/>
        </w:numPr>
        <w:tabs>
          <w:tab w:val="left" w:pos="1440"/>
        </w:tabs>
        <w:spacing w:before="50" w:line="317" w:lineRule="exact"/>
        <w:textAlignment w:val="baseline"/>
        <w:rPr>
          <w:rFonts w:ascii="Georgia" w:eastAsia="Times New Roman" w:hAnsi="Georgia"/>
          <w:color w:val="000000"/>
          <w:spacing w:val="-1"/>
          <w:sz w:val="24"/>
          <w:szCs w:val="24"/>
        </w:rPr>
      </w:pPr>
      <w:r w:rsidRPr="006E1C13">
        <w:rPr>
          <w:rFonts w:ascii="Georgia" w:eastAsia="Times New Roman" w:hAnsi="Georgia"/>
          <w:color w:val="000000"/>
          <w:sz w:val="24"/>
          <w:szCs w:val="24"/>
        </w:rPr>
        <w:t xml:space="preserve">Page </w:t>
      </w:r>
      <w:r w:rsidR="006E1C13">
        <w:rPr>
          <w:rFonts w:ascii="Georgia" w:eastAsia="Times New Roman" w:hAnsi="Georgia"/>
          <w:color w:val="000000"/>
          <w:sz w:val="24"/>
          <w:szCs w:val="24"/>
        </w:rPr>
        <w:t>3</w:t>
      </w:r>
      <w:r w:rsidR="0015780A" w:rsidRPr="006E1C13">
        <w:rPr>
          <w:rFonts w:ascii="Georgia" w:eastAsia="Times New Roman" w:hAnsi="Georgia"/>
          <w:color w:val="000000"/>
          <w:sz w:val="24"/>
          <w:szCs w:val="24"/>
        </w:rPr>
        <w:t xml:space="preserve">:  Review </w:t>
      </w:r>
      <w:r w:rsidR="006E1C13">
        <w:rPr>
          <w:rFonts w:ascii="Georgia" w:eastAsia="Times New Roman" w:hAnsi="Georgia"/>
          <w:color w:val="000000"/>
          <w:sz w:val="24"/>
          <w:szCs w:val="24"/>
        </w:rPr>
        <w:t>the protective factors.  In addition to the definitions of the factors given in the participant manuals, here are some anecdotes that may be shared.</w:t>
      </w:r>
    </w:p>
    <w:p w14:paraId="3BB69C3F" w14:textId="77777777" w:rsidR="006E1C13" w:rsidRPr="006E1C13" w:rsidRDefault="002D52BC" w:rsidP="006E1C13">
      <w:pPr>
        <w:ind w:left="1440"/>
        <w:rPr>
          <w:rFonts w:ascii="Georgia" w:eastAsiaTheme="minorHAnsi" w:hAnsi="Georgia" w:cstheme="minorBidi"/>
          <w:sz w:val="24"/>
          <w:szCs w:val="24"/>
        </w:rPr>
      </w:pPr>
      <w:r w:rsidRPr="006E1C13">
        <w:rPr>
          <w:rFonts w:ascii="Georgia" w:eastAsia="Times New Roman" w:hAnsi="Georgia"/>
          <w:color w:val="000000"/>
          <w:sz w:val="24"/>
          <w:szCs w:val="24"/>
        </w:rPr>
        <w:t xml:space="preserve">a. </w:t>
      </w:r>
      <w:r w:rsidR="002D128B" w:rsidRPr="006E1C13">
        <w:rPr>
          <w:rFonts w:ascii="Georgia" w:eastAsia="Times New Roman" w:hAnsi="Georgia"/>
          <w:color w:val="000000"/>
          <w:sz w:val="24"/>
          <w:szCs w:val="24"/>
        </w:rPr>
        <w:t xml:space="preserve"> </w:t>
      </w:r>
      <w:r w:rsidR="006E1C13" w:rsidRPr="006E1C13">
        <w:rPr>
          <w:rFonts w:ascii="Georgia" w:eastAsiaTheme="minorHAnsi" w:hAnsi="Georgia" w:cstheme="minorBidi"/>
          <w:sz w:val="24"/>
          <w:szCs w:val="24"/>
        </w:rPr>
        <w:t>Stress the significance of these factors in not only managing stress but also fostering children's emotional and cognitive growth.</w:t>
      </w:r>
    </w:p>
    <w:p w14:paraId="77A92303" w14:textId="1F299BBB" w:rsidR="00FF66B7" w:rsidRDefault="006E1C13" w:rsidP="006E1C13">
      <w:pPr>
        <w:spacing w:before="52" w:line="317" w:lineRule="exact"/>
        <w:ind w:left="1440"/>
        <w:textAlignment w:val="baseline"/>
        <w:rPr>
          <w:rFonts w:ascii="Georgia" w:hAnsi="Georgia"/>
          <w:sz w:val="24"/>
          <w:szCs w:val="24"/>
        </w:rPr>
      </w:pPr>
      <w:r>
        <w:rPr>
          <w:rFonts w:ascii="Georgia" w:eastAsia="Times New Roman" w:hAnsi="Georgia"/>
          <w:color w:val="000000"/>
          <w:sz w:val="24"/>
          <w:szCs w:val="24"/>
        </w:rPr>
        <w:t xml:space="preserve">b. Concrete Resources example:  </w:t>
      </w:r>
      <w:r w:rsidRPr="006E1C13">
        <w:rPr>
          <w:rFonts w:ascii="Georgia" w:hAnsi="Georgia"/>
          <w:sz w:val="24"/>
          <w:szCs w:val="24"/>
        </w:rPr>
        <w:t xml:space="preserve">A family experiencing financial </w:t>
      </w:r>
      <w:r>
        <w:rPr>
          <w:rFonts w:ascii="Georgia" w:hAnsi="Georgia"/>
          <w:sz w:val="24"/>
          <w:szCs w:val="24"/>
        </w:rPr>
        <w:t xml:space="preserve">   </w:t>
      </w:r>
      <w:r w:rsidRPr="006E1C13">
        <w:rPr>
          <w:rFonts w:ascii="Georgia" w:hAnsi="Georgia"/>
          <w:sz w:val="24"/>
          <w:szCs w:val="24"/>
        </w:rPr>
        <w:t>hardship due to job loss receives assistance from a local food bank, which provides them with groceries to meet their nutritional needs. This concrete support alleviates the stress of food insecurity and allows the family to focus on other priorities, such as finding employment.</w:t>
      </w:r>
    </w:p>
    <w:p w14:paraId="14FCE376" w14:textId="77777777" w:rsidR="006E1C13" w:rsidRDefault="006E1C13" w:rsidP="006E1C13">
      <w:pPr>
        <w:ind w:left="1440"/>
        <w:rPr>
          <w:rFonts w:ascii="Georgia" w:eastAsiaTheme="minorHAnsi" w:hAnsi="Georgia" w:cstheme="minorBidi"/>
          <w:sz w:val="24"/>
          <w:szCs w:val="24"/>
        </w:rPr>
      </w:pPr>
      <w:r>
        <w:rPr>
          <w:rFonts w:ascii="Georgia" w:hAnsi="Georgia"/>
          <w:sz w:val="24"/>
          <w:szCs w:val="24"/>
        </w:rPr>
        <w:t xml:space="preserve">c.  Support Systems Anecdote:  </w:t>
      </w:r>
      <w:r w:rsidRPr="006E1C13">
        <w:rPr>
          <w:rFonts w:ascii="Georgia" w:eastAsiaTheme="minorHAnsi" w:hAnsi="Georgia" w:cstheme="minorBidi"/>
          <w:sz w:val="24"/>
          <w:szCs w:val="24"/>
        </w:rPr>
        <w:t>After a single mother undergoes surgery, her neighbors organize a meal train to provide daily dinners for her family during her recovery. This outpouring of support from her community not only ensures that the family's basic needs are met but also strengthens their sense of belonging and connection during a challenging time.</w:t>
      </w:r>
    </w:p>
    <w:p w14:paraId="52100281" w14:textId="77777777" w:rsidR="006E1C13" w:rsidRDefault="006E1C13" w:rsidP="006E1C13">
      <w:pPr>
        <w:ind w:left="1440"/>
        <w:rPr>
          <w:rFonts w:ascii="Georgia" w:eastAsiaTheme="minorHAnsi" w:hAnsi="Georgia" w:cstheme="minorBidi"/>
          <w:sz w:val="24"/>
          <w:szCs w:val="24"/>
        </w:rPr>
      </w:pPr>
      <w:r>
        <w:rPr>
          <w:rFonts w:ascii="Georgia" w:eastAsiaTheme="minorHAnsi" w:hAnsi="Georgia" w:cstheme="minorBidi"/>
          <w:sz w:val="24"/>
          <w:szCs w:val="24"/>
        </w:rPr>
        <w:t xml:space="preserve">d. Caregiver resilience example:  </w:t>
      </w:r>
      <w:r w:rsidRPr="006E1C13">
        <w:rPr>
          <w:rFonts w:ascii="Georgia" w:eastAsiaTheme="minorHAnsi" w:hAnsi="Georgia" w:cstheme="minorBidi"/>
          <w:sz w:val="24"/>
          <w:szCs w:val="24"/>
        </w:rPr>
        <w:t>Despite facing financial struggles and personal setbacks, a parent seeks therapy to address their own mental health needs. Through therapy, they develop coping strategies and resilience skills that enable them to effectively manage stress and provide emotional stability for their children, fostering a positive family environment.</w:t>
      </w:r>
    </w:p>
    <w:p w14:paraId="196CB7E4" w14:textId="77777777" w:rsidR="006E1C13" w:rsidRDefault="006E1C13" w:rsidP="00260493">
      <w:pPr>
        <w:ind w:left="1440"/>
        <w:rPr>
          <w:rFonts w:ascii="Georgia" w:eastAsiaTheme="minorHAnsi" w:hAnsi="Georgia" w:cstheme="minorBidi"/>
          <w:sz w:val="24"/>
          <w:szCs w:val="24"/>
        </w:rPr>
      </w:pPr>
      <w:r>
        <w:rPr>
          <w:rFonts w:ascii="Georgia" w:eastAsiaTheme="minorHAnsi" w:hAnsi="Georgia" w:cstheme="minorBidi"/>
          <w:sz w:val="24"/>
          <w:szCs w:val="24"/>
        </w:rPr>
        <w:t xml:space="preserve">e. Parenting support anecdote:  </w:t>
      </w:r>
      <w:r w:rsidRPr="006E1C13">
        <w:rPr>
          <w:rFonts w:ascii="Georgia" w:eastAsiaTheme="minorHAnsi" w:hAnsi="Georgia" w:cstheme="minorBidi"/>
          <w:sz w:val="24"/>
          <w:szCs w:val="24"/>
        </w:rPr>
        <w:t>A new parent attends a parenting class offered by a local community center, where they learn about child development milestones and positive discipline techniques. Armed with this knowledge, the parent feels more confident in their parenting abilities and builds a stronger bond with their child, leading to improved family dynamics.</w:t>
      </w:r>
    </w:p>
    <w:p w14:paraId="21026B89" w14:textId="77777777" w:rsidR="00260493" w:rsidRDefault="00260493" w:rsidP="00260493">
      <w:pPr>
        <w:ind w:left="1440"/>
        <w:rPr>
          <w:rFonts w:ascii="Georgia" w:eastAsiaTheme="minorHAnsi" w:hAnsi="Georgia" w:cstheme="minorBidi"/>
          <w:sz w:val="24"/>
          <w:szCs w:val="24"/>
        </w:rPr>
      </w:pPr>
      <w:r>
        <w:rPr>
          <w:rFonts w:ascii="Georgia" w:eastAsiaTheme="minorHAnsi" w:hAnsi="Georgia" w:cstheme="minorBidi"/>
          <w:sz w:val="24"/>
          <w:szCs w:val="24"/>
        </w:rPr>
        <w:t xml:space="preserve">f.  Child capacities example:  </w:t>
      </w:r>
      <w:r w:rsidRPr="00260493">
        <w:rPr>
          <w:rFonts w:ascii="Georgia" w:eastAsiaTheme="minorHAnsi" w:hAnsi="Georgia" w:cstheme="minorBidi"/>
          <w:sz w:val="24"/>
          <w:szCs w:val="24"/>
        </w:rPr>
        <w:t>A child who has experienced trauma receives counseling services at school, where they learn coping skills and emotional regulation techniques. Over time, the child's resilience grows, allowing them to navigate challenges more effectively and thrive academically and socially despite their adverse experiences.</w:t>
      </w:r>
    </w:p>
    <w:p w14:paraId="0188185A" w14:textId="0BD19901" w:rsidR="00260493" w:rsidRPr="00260493" w:rsidRDefault="00260493" w:rsidP="00260493">
      <w:pPr>
        <w:ind w:left="1440"/>
        <w:rPr>
          <w:rFonts w:ascii="Georgia" w:eastAsiaTheme="minorHAnsi" w:hAnsi="Georgia" w:cstheme="minorBidi"/>
          <w:sz w:val="24"/>
          <w:szCs w:val="24"/>
        </w:rPr>
      </w:pPr>
      <w:r>
        <w:rPr>
          <w:rFonts w:ascii="Georgia" w:eastAsiaTheme="minorHAnsi" w:hAnsi="Georgia" w:cstheme="minorBidi"/>
          <w:sz w:val="24"/>
          <w:szCs w:val="24"/>
        </w:rPr>
        <w:lastRenderedPageBreak/>
        <w:t>g.  Encourage participants to consider how these factors interplay within their own communities or work settings.</w:t>
      </w:r>
    </w:p>
    <w:p w14:paraId="2EB11217" w14:textId="77777777" w:rsidR="00FF66B7" w:rsidRPr="00270A8E" w:rsidRDefault="00FF66B7" w:rsidP="00260493">
      <w:pPr>
        <w:tabs>
          <w:tab w:val="left" w:pos="1008"/>
        </w:tabs>
        <w:spacing w:line="370" w:lineRule="exact"/>
        <w:ind w:right="144"/>
        <w:textAlignment w:val="baseline"/>
        <w:rPr>
          <w:rFonts w:ascii="Georgia" w:eastAsia="Times New Roman" w:hAnsi="Georgia"/>
          <w:color w:val="000000"/>
          <w:sz w:val="24"/>
          <w:szCs w:val="24"/>
        </w:rPr>
      </w:pPr>
    </w:p>
    <w:p w14:paraId="5A0FDAB0" w14:textId="4AEC03E8" w:rsidR="00FF66B7" w:rsidRPr="00270A8E" w:rsidRDefault="002D128B" w:rsidP="00FF66B7">
      <w:pPr>
        <w:pStyle w:val="ListParagraph"/>
        <w:numPr>
          <w:ilvl w:val="0"/>
          <w:numId w:val="11"/>
        </w:numPr>
        <w:tabs>
          <w:tab w:val="left" w:pos="1008"/>
        </w:tabs>
        <w:spacing w:line="370" w:lineRule="exact"/>
        <w:ind w:right="144"/>
        <w:textAlignment w:val="baseline"/>
        <w:rPr>
          <w:rFonts w:ascii="Georgia" w:eastAsia="Times New Roman" w:hAnsi="Georgia"/>
          <w:color w:val="000000"/>
          <w:sz w:val="24"/>
          <w:szCs w:val="24"/>
        </w:rPr>
      </w:pPr>
      <w:r w:rsidRPr="00270A8E">
        <w:rPr>
          <w:rFonts w:ascii="Georgia" w:eastAsia="Times New Roman" w:hAnsi="Georgia"/>
          <w:color w:val="000000"/>
          <w:spacing w:val="3"/>
          <w:sz w:val="24"/>
          <w:szCs w:val="24"/>
        </w:rPr>
        <w:t xml:space="preserve"> Page</w:t>
      </w:r>
      <w:r w:rsidR="00260493">
        <w:rPr>
          <w:rFonts w:ascii="Georgia" w:eastAsia="Times New Roman" w:hAnsi="Georgia"/>
          <w:color w:val="000000"/>
          <w:spacing w:val="3"/>
          <w:sz w:val="24"/>
          <w:szCs w:val="24"/>
        </w:rPr>
        <w:t xml:space="preserve"> 4-6:  Talk about ways to build protective factors with the families they are working with.  Suggestions are listed in the participant manual.</w:t>
      </w:r>
    </w:p>
    <w:p w14:paraId="2D458614" w14:textId="77777777" w:rsidR="00FF66B7" w:rsidRPr="00270A8E" w:rsidRDefault="00FF66B7" w:rsidP="00FF66B7">
      <w:pPr>
        <w:pStyle w:val="ListParagraph"/>
        <w:tabs>
          <w:tab w:val="left" w:pos="1008"/>
        </w:tabs>
        <w:spacing w:line="370" w:lineRule="exact"/>
        <w:ind w:left="1080" w:right="144"/>
        <w:textAlignment w:val="baseline"/>
        <w:rPr>
          <w:rFonts w:ascii="Georgia" w:eastAsia="Times New Roman" w:hAnsi="Georgia"/>
          <w:color w:val="000000"/>
          <w:sz w:val="24"/>
          <w:szCs w:val="24"/>
        </w:rPr>
      </w:pPr>
    </w:p>
    <w:p w14:paraId="5F357592" w14:textId="79D8767F" w:rsidR="00FF66B7" w:rsidRPr="00270A8E" w:rsidRDefault="002D128B" w:rsidP="00FF66B7">
      <w:pPr>
        <w:pStyle w:val="ListParagraph"/>
        <w:numPr>
          <w:ilvl w:val="0"/>
          <w:numId w:val="11"/>
        </w:numPr>
        <w:tabs>
          <w:tab w:val="left" w:pos="1008"/>
        </w:tabs>
        <w:spacing w:line="370" w:lineRule="exact"/>
        <w:ind w:right="144"/>
        <w:textAlignment w:val="baseline"/>
        <w:rPr>
          <w:rFonts w:ascii="Georgia" w:eastAsia="Times New Roman" w:hAnsi="Georgia"/>
          <w:color w:val="000000"/>
          <w:sz w:val="24"/>
          <w:szCs w:val="24"/>
        </w:rPr>
      </w:pPr>
      <w:r w:rsidRPr="00270A8E">
        <w:rPr>
          <w:rFonts w:ascii="Georgia" w:eastAsia="Times New Roman" w:hAnsi="Georgia"/>
          <w:color w:val="000000"/>
          <w:spacing w:val="3"/>
          <w:sz w:val="24"/>
          <w:szCs w:val="24"/>
        </w:rPr>
        <w:t xml:space="preserve">Page </w:t>
      </w:r>
      <w:r w:rsidR="00260493">
        <w:rPr>
          <w:rFonts w:ascii="Georgia" w:eastAsia="Times New Roman" w:hAnsi="Georgia"/>
          <w:color w:val="000000"/>
          <w:spacing w:val="3"/>
          <w:sz w:val="24"/>
          <w:szCs w:val="24"/>
        </w:rPr>
        <w:t xml:space="preserve">7:  Review the examples of concrete support, support systems and caregiver connections.   </w:t>
      </w:r>
    </w:p>
    <w:p w14:paraId="5C865F29" w14:textId="4389ACCA" w:rsidR="00EE5110" w:rsidRPr="00EE5110" w:rsidRDefault="00EE5110" w:rsidP="00EE5110">
      <w:pPr>
        <w:pStyle w:val="ListParagraph"/>
        <w:numPr>
          <w:ilvl w:val="1"/>
          <w:numId w:val="11"/>
        </w:numPr>
        <w:rPr>
          <w:rFonts w:ascii="Georgia" w:eastAsiaTheme="minorHAnsi" w:hAnsi="Georgia" w:cstheme="minorBidi"/>
          <w:sz w:val="24"/>
          <w:szCs w:val="24"/>
        </w:rPr>
      </w:pPr>
      <w:r w:rsidRPr="00EE5110">
        <w:rPr>
          <w:rFonts w:ascii="Georgia" w:eastAsia="Times New Roman" w:hAnsi="Georgia"/>
          <w:color w:val="000000"/>
          <w:spacing w:val="2"/>
          <w:sz w:val="24"/>
          <w:szCs w:val="24"/>
        </w:rPr>
        <w:t xml:space="preserve">Concrete Support--Boca Helping Hands Program:  </w:t>
      </w:r>
      <w:r w:rsidRPr="00EE5110">
        <w:rPr>
          <w:rFonts w:ascii="Georgia" w:eastAsiaTheme="minorHAnsi" w:hAnsi="Georgia" w:cstheme="minorBidi"/>
          <w:sz w:val="24"/>
          <w:szCs w:val="24"/>
        </w:rPr>
        <w:t>The Boca Helping Hands program is a nonprofit organization based in Boca Raton, Florida, dedicated to providing food, medical, and financial assistance to individuals and families in need within the community. Here's a description of the program:</w:t>
      </w:r>
    </w:p>
    <w:p w14:paraId="29FD7CDD" w14:textId="77777777" w:rsidR="00EE5110" w:rsidRPr="00EE5110" w:rsidRDefault="00EE5110" w:rsidP="00EE5110">
      <w:pPr>
        <w:spacing w:after="160" w:line="259" w:lineRule="auto"/>
        <w:rPr>
          <w:rFonts w:ascii="Georgia" w:eastAsiaTheme="minorHAnsi" w:hAnsi="Georgia" w:cstheme="minorBidi"/>
          <w:sz w:val="24"/>
          <w:szCs w:val="24"/>
        </w:rPr>
      </w:pPr>
    </w:p>
    <w:p w14:paraId="7CAC035F" w14:textId="77777777" w:rsidR="00EE5110" w:rsidRPr="00EE5110" w:rsidRDefault="00EE5110" w:rsidP="00EE5110">
      <w:pPr>
        <w:spacing w:after="160" w:line="259" w:lineRule="auto"/>
        <w:ind w:left="1080" w:firstLine="720"/>
        <w:rPr>
          <w:rFonts w:ascii="Georgia" w:eastAsiaTheme="minorHAnsi" w:hAnsi="Georgia" w:cstheme="minorBidi"/>
          <w:sz w:val="24"/>
          <w:szCs w:val="24"/>
        </w:rPr>
      </w:pPr>
      <w:r w:rsidRPr="00EE5110">
        <w:rPr>
          <w:rFonts w:ascii="Georgia" w:eastAsiaTheme="minorHAnsi" w:hAnsi="Georgia" w:cstheme="minorBidi"/>
          <w:sz w:val="24"/>
          <w:szCs w:val="24"/>
        </w:rPr>
        <w:t>Food Assistance:</w:t>
      </w:r>
    </w:p>
    <w:p w14:paraId="6E0A5296"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Boca Helping Hands operates a food pantry that distributes nutritious groceries to individuals and families facing food insecurity.</w:t>
      </w:r>
    </w:p>
    <w:p w14:paraId="1D0F4718"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The organization offers hot meals served daily in their community kitchen, providing nourishing meals to those experiencing hunger.</w:t>
      </w:r>
    </w:p>
    <w:p w14:paraId="6E272E45"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Food distribution programs are conducted in partnership with local supermarkets, food banks, and community volunteers to ensure access to a variety of food items.</w:t>
      </w:r>
    </w:p>
    <w:p w14:paraId="23AB139C" w14:textId="77777777" w:rsidR="00EE5110" w:rsidRPr="00EE5110" w:rsidRDefault="00EE5110" w:rsidP="00EE5110">
      <w:pPr>
        <w:spacing w:after="160" w:line="259" w:lineRule="auto"/>
        <w:ind w:left="1080" w:firstLine="720"/>
        <w:rPr>
          <w:rFonts w:ascii="Georgia" w:eastAsiaTheme="minorHAnsi" w:hAnsi="Georgia" w:cstheme="minorBidi"/>
          <w:sz w:val="24"/>
          <w:szCs w:val="24"/>
        </w:rPr>
      </w:pPr>
      <w:r w:rsidRPr="00EE5110">
        <w:rPr>
          <w:rFonts w:ascii="Georgia" w:eastAsiaTheme="minorHAnsi" w:hAnsi="Georgia" w:cstheme="minorBidi"/>
          <w:sz w:val="24"/>
          <w:szCs w:val="24"/>
        </w:rPr>
        <w:t>Financial Assistance:</w:t>
      </w:r>
    </w:p>
    <w:p w14:paraId="751BFDD8"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In addition to food support, Boca Helping Hands offers financial assistance programs to help individuals and families facing financial crises.</w:t>
      </w:r>
    </w:p>
    <w:p w14:paraId="4DE62DD2"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Assistance may include help with rent, utility bills, medical expenses, and other essential needs, providing a safety net for those experiencing economic hardship.</w:t>
      </w:r>
    </w:p>
    <w:p w14:paraId="3B01DA62" w14:textId="77777777" w:rsidR="00EE5110" w:rsidRPr="00EE5110" w:rsidRDefault="00EE5110" w:rsidP="00EE5110">
      <w:pPr>
        <w:spacing w:after="160" w:line="259" w:lineRule="auto"/>
        <w:ind w:left="1080" w:firstLine="720"/>
        <w:rPr>
          <w:rFonts w:ascii="Georgia" w:eastAsiaTheme="minorHAnsi" w:hAnsi="Georgia" w:cstheme="minorBidi"/>
          <w:sz w:val="24"/>
          <w:szCs w:val="24"/>
        </w:rPr>
      </w:pPr>
      <w:r w:rsidRPr="00EE5110">
        <w:rPr>
          <w:rFonts w:ascii="Georgia" w:eastAsiaTheme="minorHAnsi" w:hAnsi="Georgia" w:cstheme="minorBidi"/>
          <w:sz w:val="24"/>
          <w:szCs w:val="24"/>
        </w:rPr>
        <w:t>Job Training and Education:</w:t>
      </w:r>
    </w:p>
    <w:p w14:paraId="5123BFC9"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Boca Helping Hands provides job training and educational opportunities to empower individuals to achieve self-sufficiency and economic stability.</w:t>
      </w:r>
    </w:p>
    <w:p w14:paraId="5FBD5891" w14:textId="0CF0750F"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lastRenderedPageBreak/>
        <w:t>Programs may include job readiness workshops, vocational training, resume building, and career counseling services to help participants gain skills and find employment.</w:t>
      </w:r>
    </w:p>
    <w:p w14:paraId="7DFB9880" w14:textId="77777777" w:rsidR="00EE5110" w:rsidRPr="00EE5110" w:rsidRDefault="00EE5110" w:rsidP="00EE5110">
      <w:pPr>
        <w:spacing w:after="160" w:line="259" w:lineRule="auto"/>
        <w:ind w:left="1080" w:firstLine="720"/>
        <w:rPr>
          <w:rFonts w:ascii="Georgia" w:eastAsiaTheme="minorHAnsi" w:hAnsi="Georgia" w:cstheme="minorBidi"/>
          <w:sz w:val="24"/>
          <w:szCs w:val="24"/>
        </w:rPr>
      </w:pPr>
      <w:r w:rsidRPr="00EE5110">
        <w:rPr>
          <w:rFonts w:ascii="Georgia" w:eastAsiaTheme="minorHAnsi" w:hAnsi="Georgia" w:cstheme="minorBidi"/>
          <w:sz w:val="24"/>
          <w:szCs w:val="24"/>
        </w:rPr>
        <w:t>Community Outreach:</w:t>
      </w:r>
    </w:p>
    <w:p w14:paraId="381660EF"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The organization engages in community outreach initiatives to raise awareness about hunger and poverty issues in the local area.</w:t>
      </w:r>
    </w:p>
    <w:p w14:paraId="4D91832B"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Boca Helping Hands collaborates with other community organizations, schools, businesses, and faith-based groups to coordinate efforts and address the root causes of poverty.</w:t>
      </w:r>
    </w:p>
    <w:p w14:paraId="63CE9148" w14:textId="77777777" w:rsidR="00EE5110" w:rsidRPr="00EE5110" w:rsidRDefault="00EE5110" w:rsidP="00EE5110">
      <w:pPr>
        <w:spacing w:after="160" w:line="259" w:lineRule="auto"/>
        <w:ind w:left="1080" w:firstLine="720"/>
        <w:rPr>
          <w:rFonts w:ascii="Georgia" w:eastAsiaTheme="minorHAnsi" w:hAnsi="Georgia" w:cstheme="minorBidi"/>
          <w:sz w:val="24"/>
          <w:szCs w:val="24"/>
        </w:rPr>
      </w:pPr>
      <w:r w:rsidRPr="00EE5110">
        <w:rPr>
          <w:rFonts w:ascii="Georgia" w:eastAsiaTheme="minorHAnsi" w:hAnsi="Georgia" w:cstheme="minorBidi"/>
          <w:sz w:val="24"/>
          <w:szCs w:val="24"/>
        </w:rPr>
        <w:t>Volunteer and Donor Engagement:</w:t>
      </w:r>
    </w:p>
    <w:p w14:paraId="06A86CA6"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Volunteers play a crucial role in the success of Boca Helping Hands, assisting with food distribution, meal preparation, fundraising events, and administrative tasks.</w:t>
      </w:r>
    </w:p>
    <w:p w14:paraId="065CC897"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The organization relies on donations from individuals, businesses, and foundations to support its programs and services, ensuring that those in need receive the assistance they require.</w:t>
      </w:r>
    </w:p>
    <w:p w14:paraId="308809BF"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Overall, the Boca Helping Hands program embodies the spirit of community support and compassion, providing vital resources and assistance to individuals and families facing adversity in Boca Raton and the surrounding areas. Through its holistic approach to addressing poverty and hunger, the organization strives to make a positive impact and improve the lives of those it serves.</w:t>
      </w:r>
    </w:p>
    <w:p w14:paraId="6DEAA366" w14:textId="77777777" w:rsidR="00EE5110"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Highlight the effectiveness of these programs in alleviating stress and supporting family well-being.</w:t>
      </w:r>
    </w:p>
    <w:p w14:paraId="0A3BE104" w14:textId="7FC7817C" w:rsidR="00E8194C" w:rsidRPr="00EE5110" w:rsidRDefault="00EE5110" w:rsidP="00EE5110">
      <w:pPr>
        <w:spacing w:after="160" w:line="259" w:lineRule="auto"/>
        <w:ind w:left="1800"/>
        <w:rPr>
          <w:rFonts w:ascii="Georgia" w:eastAsiaTheme="minorHAnsi" w:hAnsi="Georgia" w:cstheme="minorBidi"/>
          <w:sz w:val="24"/>
          <w:szCs w:val="24"/>
        </w:rPr>
      </w:pPr>
      <w:r w:rsidRPr="00EE5110">
        <w:rPr>
          <w:rFonts w:ascii="Georgia" w:eastAsiaTheme="minorHAnsi" w:hAnsi="Georgia" w:cstheme="minorBidi"/>
          <w:sz w:val="24"/>
          <w:szCs w:val="24"/>
        </w:rPr>
        <w:t>Encourage participants to explore similar resources available in their own communities or to consider implementing similar initiatives.</w:t>
      </w:r>
    </w:p>
    <w:p w14:paraId="7A17AF05" w14:textId="0EF84F37" w:rsidR="005E451A" w:rsidRPr="005C78FC" w:rsidRDefault="005C78FC" w:rsidP="00EE5110">
      <w:pPr>
        <w:pStyle w:val="ListParagraph"/>
        <w:numPr>
          <w:ilvl w:val="1"/>
          <w:numId w:val="11"/>
        </w:numPr>
        <w:tabs>
          <w:tab w:val="left" w:pos="720"/>
          <w:tab w:val="left" w:pos="1080"/>
        </w:tabs>
        <w:spacing w:before="64" w:line="314" w:lineRule="exact"/>
        <w:textAlignment w:val="baseline"/>
        <w:rPr>
          <w:rFonts w:ascii="Georgia" w:eastAsia="Times New Roman" w:hAnsi="Georgia"/>
          <w:color w:val="000000"/>
          <w:spacing w:val="2"/>
          <w:sz w:val="24"/>
          <w:szCs w:val="24"/>
        </w:rPr>
      </w:pPr>
      <w:r>
        <w:rPr>
          <w:rFonts w:ascii="Georgia" w:eastAsia="Times New Roman" w:hAnsi="Georgia"/>
          <w:color w:val="000000"/>
          <w:spacing w:val="2"/>
          <w:sz w:val="24"/>
          <w:szCs w:val="24"/>
        </w:rPr>
        <w:t xml:space="preserve">Support Systems—Kitchen Table Project and ROAD initiative: </w:t>
      </w:r>
      <w:r w:rsidRPr="005C78FC">
        <w:rPr>
          <w:rFonts w:ascii="Georgia" w:hAnsi="Georgia"/>
          <w:sz w:val="24"/>
          <w:szCs w:val="24"/>
        </w:rPr>
        <w:t>The Kitchen Table Project and ROAD (Reaching Out about Depression) initiative are community-based programs aimed at providing support and resources to individuals, particularly women, facing mental health challenges, poverty, and social isolation.</w:t>
      </w:r>
    </w:p>
    <w:p w14:paraId="47F7AC25" w14:textId="45AD8A73" w:rsidR="005C78FC" w:rsidRPr="005C78FC" w:rsidRDefault="005C78FC" w:rsidP="005C78FC">
      <w:pPr>
        <w:ind w:left="1800"/>
        <w:rPr>
          <w:rFonts w:ascii="Georgia" w:hAnsi="Georgia"/>
          <w:sz w:val="24"/>
          <w:szCs w:val="24"/>
        </w:rPr>
      </w:pPr>
      <w:r w:rsidRPr="005C78FC">
        <w:rPr>
          <w:rFonts w:ascii="Georgia" w:hAnsi="Georgia"/>
          <w:b/>
          <w:bCs/>
          <w:sz w:val="24"/>
          <w:szCs w:val="24"/>
        </w:rPr>
        <w:t>The Kitchen Table Project</w:t>
      </w:r>
      <w:r w:rsidRPr="005C78FC">
        <w:rPr>
          <w:rFonts w:ascii="Georgia" w:hAnsi="Georgia"/>
          <w:sz w:val="24"/>
          <w:szCs w:val="24"/>
        </w:rPr>
        <w:t>:</w:t>
      </w:r>
      <w:r>
        <w:rPr>
          <w:rFonts w:ascii="Georgia" w:hAnsi="Georgia"/>
          <w:sz w:val="24"/>
          <w:szCs w:val="24"/>
        </w:rPr>
        <w:t xml:space="preserve">  </w:t>
      </w:r>
      <w:r w:rsidRPr="005C78FC">
        <w:rPr>
          <w:rFonts w:ascii="Georgia" w:hAnsi="Georgia"/>
          <w:sz w:val="24"/>
          <w:szCs w:val="24"/>
        </w:rPr>
        <w:t>Originating in low-income neighborhoods in Cambridge, Massachusetts, the Kitchen Table Project was established by women who sought to address feelings of powerlessness and isolation often associated with living in poverty.</w:t>
      </w:r>
    </w:p>
    <w:p w14:paraId="0393EB66" w14:textId="77777777" w:rsidR="005C78FC" w:rsidRPr="005C78FC" w:rsidRDefault="005C78FC" w:rsidP="005C78FC">
      <w:pPr>
        <w:pStyle w:val="ListParagraph"/>
        <w:ind w:left="1080"/>
        <w:rPr>
          <w:rFonts w:ascii="Georgia" w:hAnsi="Georgia"/>
          <w:sz w:val="24"/>
          <w:szCs w:val="24"/>
        </w:rPr>
      </w:pPr>
      <w:r w:rsidRPr="005C78FC">
        <w:rPr>
          <w:rFonts w:ascii="Georgia" w:hAnsi="Georgia"/>
          <w:sz w:val="24"/>
          <w:szCs w:val="24"/>
        </w:rPr>
        <w:lastRenderedPageBreak/>
        <w:t>The project serves as a grassroots movement focused on community activism and empowerment, bringing together women from diverse backgrounds to support one another and advocate for change.</w:t>
      </w:r>
    </w:p>
    <w:p w14:paraId="5CBA675E" w14:textId="77777777" w:rsidR="005C78FC" w:rsidRPr="005C78FC" w:rsidRDefault="005C78FC" w:rsidP="005C78FC">
      <w:pPr>
        <w:pStyle w:val="ListParagraph"/>
        <w:ind w:left="1080"/>
        <w:rPr>
          <w:rFonts w:ascii="Georgia" w:hAnsi="Georgia"/>
          <w:sz w:val="24"/>
          <w:szCs w:val="24"/>
        </w:rPr>
      </w:pPr>
      <w:r w:rsidRPr="005C78FC">
        <w:rPr>
          <w:rFonts w:ascii="Georgia" w:hAnsi="Georgia"/>
          <w:sz w:val="24"/>
          <w:szCs w:val="24"/>
        </w:rPr>
        <w:t>Through regular gatherings and meetings held around kitchen tables, participants share their experiences, discuss challenges, and brainstorm solutions to address issues related to poverty, mental health, and social inequality.</w:t>
      </w:r>
    </w:p>
    <w:p w14:paraId="761C6DA4" w14:textId="77777777" w:rsidR="005C78FC" w:rsidRPr="005C78FC" w:rsidRDefault="005C78FC" w:rsidP="005C78FC">
      <w:pPr>
        <w:pStyle w:val="ListParagraph"/>
        <w:ind w:left="1080"/>
        <w:rPr>
          <w:rFonts w:ascii="Georgia" w:hAnsi="Georgia"/>
          <w:sz w:val="24"/>
          <w:szCs w:val="24"/>
        </w:rPr>
      </w:pPr>
      <w:r w:rsidRPr="005C78FC">
        <w:rPr>
          <w:rFonts w:ascii="Georgia" w:hAnsi="Georgia"/>
          <w:sz w:val="24"/>
          <w:szCs w:val="24"/>
        </w:rPr>
        <w:t>The Kitchen Table Project emphasizes the importance of collective action and solidarity, encouraging women to mobilize resources and support networks within their communities to create positive social change.</w:t>
      </w:r>
    </w:p>
    <w:p w14:paraId="52DBD2E8" w14:textId="1E18A0C3" w:rsidR="005C78FC" w:rsidRPr="005C78FC" w:rsidRDefault="005C78FC" w:rsidP="005C78FC">
      <w:pPr>
        <w:rPr>
          <w:rFonts w:ascii="Georgia" w:hAnsi="Georgia"/>
          <w:b/>
          <w:bCs/>
          <w:sz w:val="24"/>
          <w:szCs w:val="24"/>
        </w:rPr>
      </w:pPr>
      <w:r>
        <w:rPr>
          <w:rFonts w:ascii="Georgia" w:eastAsia="Times New Roman" w:hAnsi="Georgia"/>
          <w:color w:val="000000"/>
          <w:spacing w:val="2"/>
          <w:sz w:val="24"/>
          <w:szCs w:val="24"/>
        </w:rPr>
        <w:tab/>
        <w:t xml:space="preserve">      </w:t>
      </w:r>
      <w:r w:rsidRPr="005C78FC">
        <w:rPr>
          <w:rFonts w:ascii="Georgia" w:hAnsi="Georgia"/>
          <w:b/>
          <w:bCs/>
          <w:sz w:val="24"/>
          <w:szCs w:val="24"/>
        </w:rPr>
        <w:t>ROAD (Reaching Out about Depression) Initiative:</w:t>
      </w:r>
    </w:p>
    <w:p w14:paraId="5636F3BC" w14:textId="77777777" w:rsidR="005C78FC" w:rsidRDefault="005C78FC" w:rsidP="005C78FC"/>
    <w:p w14:paraId="15314AE4" w14:textId="6064FF97" w:rsidR="005C78FC" w:rsidRPr="005C78FC" w:rsidRDefault="005C78FC" w:rsidP="005C78FC">
      <w:pPr>
        <w:ind w:left="1050"/>
        <w:rPr>
          <w:rFonts w:ascii="Georgia" w:hAnsi="Georgia"/>
          <w:sz w:val="24"/>
          <w:szCs w:val="24"/>
        </w:rPr>
      </w:pPr>
      <w:r w:rsidRPr="005C78FC">
        <w:rPr>
          <w:rFonts w:ascii="Georgia" w:hAnsi="Georgia"/>
          <w:sz w:val="24"/>
          <w:szCs w:val="24"/>
        </w:rPr>
        <w:t>Developed as an offshoot of the Kitchen Table Project, ROAD is a community-led initiative that specifically focuses on raising awareness about depression and providing support to women experiencing symptoms of depression.</w:t>
      </w:r>
    </w:p>
    <w:p w14:paraId="1F12CD45" w14:textId="77777777" w:rsidR="005C78FC" w:rsidRPr="005C78FC" w:rsidRDefault="005C78FC" w:rsidP="005C78FC">
      <w:pPr>
        <w:ind w:left="1050"/>
        <w:rPr>
          <w:rFonts w:ascii="Georgia" w:hAnsi="Georgia"/>
          <w:sz w:val="24"/>
          <w:szCs w:val="24"/>
        </w:rPr>
      </w:pPr>
      <w:r w:rsidRPr="005C78FC">
        <w:rPr>
          <w:rFonts w:ascii="Georgia" w:hAnsi="Georgia"/>
          <w:sz w:val="24"/>
          <w:szCs w:val="24"/>
        </w:rPr>
        <w:t>Recognizing the high prevalence of depression among women living in low-income neighborhoods, ROAD seeks to challenge the stigma surrounding mental illness and improve access to mental health resources and services.</w:t>
      </w:r>
    </w:p>
    <w:p w14:paraId="2F598BA3" w14:textId="77777777" w:rsidR="005C78FC" w:rsidRPr="005C78FC" w:rsidRDefault="005C78FC" w:rsidP="005C78FC">
      <w:pPr>
        <w:ind w:left="1050"/>
        <w:rPr>
          <w:rFonts w:ascii="Georgia" w:hAnsi="Georgia"/>
          <w:sz w:val="24"/>
          <w:szCs w:val="24"/>
        </w:rPr>
      </w:pPr>
      <w:r w:rsidRPr="005C78FC">
        <w:rPr>
          <w:rFonts w:ascii="Georgia" w:hAnsi="Georgia"/>
          <w:sz w:val="24"/>
          <w:szCs w:val="24"/>
        </w:rPr>
        <w:t xml:space="preserve">Participants in the ROAD initiative </w:t>
      </w:r>
      <w:proofErr w:type="gramStart"/>
      <w:r w:rsidRPr="005C78FC">
        <w:rPr>
          <w:rFonts w:ascii="Georgia" w:hAnsi="Georgia"/>
          <w:sz w:val="24"/>
          <w:szCs w:val="24"/>
        </w:rPr>
        <w:t>collaborate</w:t>
      </w:r>
      <w:proofErr w:type="gramEnd"/>
      <w:r w:rsidRPr="005C78FC">
        <w:rPr>
          <w:rFonts w:ascii="Georgia" w:hAnsi="Georgia"/>
          <w:sz w:val="24"/>
          <w:szCs w:val="24"/>
        </w:rPr>
        <w:t xml:space="preserve"> with mental health professionals, community organizations, and local healthcare providers to develop workshops, support groups, and educational materials on depression and mental well-being.</w:t>
      </w:r>
    </w:p>
    <w:p w14:paraId="194EAF34" w14:textId="77777777" w:rsidR="005C78FC" w:rsidRPr="005C78FC" w:rsidRDefault="005C78FC" w:rsidP="005C78FC">
      <w:pPr>
        <w:ind w:left="1050"/>
        <w:rPr>
          <w:rFonts w:ascii="Georgia" w:hAnsi="Georgia"/>
          <w:sz w:val="24"/>
          <w:szCs w:val="24"/>
        </w:rPr>
      </w:pPr>
      <w:r w:rsidRPr="005C78FC">
        <w:rPr>
          <w:rFonts w:ascii="Georgia" w:hAnsi="Georgia"/>
          <w:sz w:val="24"/>
          <w:szCs w:val="24"/>
        </w:rPr>
        <w:t>ROAD members advocate for changes in the mental healthcare system to better address the needs of individuals living in poverty and to promote more equitable access to treatment and support services.</w:t>
      </w:r>
    </w:p>
    <w:p w14:paraId="573DEE09" w14:textId="5EE3A4D6" w:rsidR="005C78FC" w:rsidRDefault="005C78FC" w:rsidP="00A26E70">
      <w:pPr>
        <w:ind w:left="1050" w:firstLine="30"/>
        <w:rPr>
          <w:rFonts w:ascii="Georgia" w:hAnsi="Georgia"/>
          <w:sz w:val="24"/>
          <w:szCs w:val="24"/>
        </w:rPr>
      </w:pPr>
      <w:r w:rsidRPr="005C78FC">
        <w:rPr>
          <w:rFonts w:ascii="Georgia" w:hAnsi="Georgia"/>
          <w:sz w:val="24"/>
          <w:szCs w:val="24"/>
        </w:rPr>
        <w:t>The initiative adopts a community-based approach to mental health care, emphasizing the importance of peer support, self-advocacy, and community activism in addressing the social determinants of mental health and promoting holistic well-being.</w:t>
      </w:r>
    </w:p>
    <w:p w14:paraId="13EC745F" w14:textId="1DE2A7DD" w:rsidR="00A26E70" w:rsidRPr="002029EA" w:rsidRDefault="00A26E70" w:rsidP="002029EA">
      <w:pPr>
        <w:ind w:left="1050" w:firstLine="30"/>
        <w:rPr>
          <w:rFonts w:ascii="Georgia" w:hAnsi="Georgia"/>
          <w:sz w:val="24"/>
          <w:szCs w:val="24"/>
        </w:rPr>
      </w:pPr>
      <w:r w:rsidRPr="002029EA">
        <w:rPr>
          <w:rFonts w:ascii="Georgia" w:hAnsi="Georgia"/>
          <w:sz w:val="24"/>
          <w:szCs w:val="24"/>
        </w:rPr>
        <w:t>Strengthening support systems for families facing adversity is needed for several reasons:</w:t>
      </w:r>
    </w:p>
    <w:p w14:paraId="31A995AA" w14:textId="77777777" w:rsidR="00A26E70" w:rsidRPr="002029EA" w:rsidRDefault="00A26E70" w:rsidP="002029EA">
      <w:pPr>
        <w:ind w:left="1050" w:firstLine="30"/>
        <w:rPr>
          <w:rFonts w:ascii="Georgia" w:hAnsi="Georgia"/>
          <w:sz w:val="24"/>
          <w:szCs w:val="24"/>
        </w:rPr>
      </w:pPr>
      <w:r w:rsidRPr="002029EA">
        <w:rPr>
          <w:rFonts w:ascii="Georgia" w:hAnsi="Georgia"/>
          <w:b/>
          <w:bCs/>
          <w:sz w:val="24"/>
          <w:szCs w:val="24"/>
        </w:rPr>
        <w:t>Buffering against stress</w:t>
      </w:r>
      <w:r w:rsidRPr="002029EA">
        <w:rPr>
          <w:rFonts w:ascii="Georgia" w:hAnsi="Georgia"/>
          <w:sz w:val="24"/>
          <w:szCs w:val="24"/>
        </w:rPr>
        <w:t>: Adversity such as mental health challenges, substance abuse, or financial strain can significantly increase stress levels within families. A strong support system provides a buffer against this stress by offering emotional support, practical assistance, and a sense of belonging. Knowing that they are not alone in facing their challenges can help families navigate difficult circumstances more effectively.</w:t>
      </w:r>
    </w:p>
    <w:p w14:paraId="037D8F49" w14:textId="3A03AF08" w:rsidR="00A26E70" w:rsidRPr="002029EA" w:rsidRDefault="00A26E70" w:rsidP="002029EA">
      <w:pPr>
        <w:ind w:left="1050" w:firstLine="30"/>
        <w:rPr>
          <w:rFonts w:ascii="Georgia" w:hAnsi="Georgia"/>
          <w:sz w:val="24"/>
          <w:szCs w:val="24"/>
        </w:rPr>
      </w:pPr>
      <w:r w:rsidRPr="002029EA">
        <w:rPr>
          <w:rFonts w:ascii="Georgia" w:hAnsi="Georgia"/>
          <w:b/>
          <w:bCs/>
          <w:sz w:val="24"/>
          <w:szCs w:val="24"/>
        </w:rPr>
        <w:t>Preventing social isolation</w:t>
      </w:r>
      <w:r w:rsidRPr="002029EA">
        <w:rPr>
          <w:rFonts w:ascii="Georgia" w:hAnsi="Georgia"/>
          <w:sz w:val="24"/>
          <w:szCs w:val="24"/>
        </w:rPr>
        <w:t>: Adversity can often lead to social</w:t>
      </w:r>
      <w:r w:rsidR="002029EA" w:rsidRPr="002029EA">
        <w:rPr>
          <w:rFonts w:ascii="Georgia" w:hAnsi="Georgia"/>
          <w:sz w:val="24"/>
          <w:szCs w:val="24"/>
        </w:rPr>
        <w:t xml:space="preserve"> </w:t>
      </w:r>
      <w:r w:rsidRPr="002029EA">
        <w:rPr>
          <w:rFonts w:ascii="Georgia" w:hAnsi="Georgia"/>
          <w:sz w:val="24"/>
          <w:szCs w:val="24"/>
        </w:rPr>
        <w:t>isolation, as families may withdraw from social connections due to shame, stigma, or a lack of resources. Strengthening support systems helps combat this isolation by fostering connections with others who may be experiencing similar challenges or who are willing to offer assistance and understanding. Social support networks provide a sense of community and belonging that is essential for overall well-being.</w:t>
      </w:r>
    </w:p>
    <w:p w14:paraId="1603E7BC" w14:textId="071B1796" w:rsidR="00A26E70" w:rsidRPr="002029EA" w:rsidRDefault="00A26E70" w:rsidP="002029EA">
      <w:pPr>
        <w:ind w:left="1440"/>
        <w:rPr>
          <w:rFonts w:ascii="Georgia" w:hAnsi="Georgia"/>
          <w:sz w:val="24"/>
          <w:szCs w:val="24"/>
        </w:rPr>
      </w:pPr>
      <w:r w:rsidRPr="002029EA">
        <w:rPr>
          <w:rFonts w:ascii="Georgia" w:hAnsi="Georgia"/>
          <w:b/>
          <w:bCs/>
          <w:sz w:val="24"/>
          <w:szCs w:val="24"/>
        </w:rPr>
        <w:t>Enhancing coping mechanisms</w:t>
      </w:r>
      <w:r w:rsidRPr="002029EA">
        <w:rPr>
          <w:rFonts w:ascii="Georgia" w:hAnsi="Georgia"/>
          <w:sz w:val="24"/>
          <w:szCs w:val="24"/>
        </w:rPr>
        <w:t>: Families facing adversity may</w:t>
      </w:r>
      <w:r w:rsidR="002029EA">
        <w:rPr>
          <w:rFonts w:ascii="Georgia" w:hAnsi="Georgia"/>
          <w:sz w:val="24"/>
          <w:szCs w:val="24"/>
        </w:rPr>
        <w:t xml:space="preserve"> </w:t>
      </w:r>
      <w:r w:rsidRPr="002029EA">
        <w:rPr>
          <w:rFonts w:ascii="Georgia" w:hAnsi="Georgia"/>
          <w:sz w:val="24"/>
          <w:szCs w:val="24"/>
        </w:rPr>
        <w:t xml:space="preserve">struggle to cope with the multiple stressors and demands placed </w:t>
      </w:r>
      <w:r w:rsidRPr="002029EA">
        <w:rPr>
          <w:rFonts w:ascii="Georgia" w:hAnsi="Georgia"/>
          <w:sz w:val="24"/>
          <w:szCs w:val="24"/>
        </w:rPr>
        <w:lastRenderedPageBreak/>
        <w:t>upon them. Support systems provide opportunities for individuals to share coping strategies, seek advice, and learn from others' experiences. Through mutual support and encouragement, families can develop effective coping mechanisms that help them navigate adversity with resilience and adaptability.</w:t>
      </w:r>
    </w:p>
    <w:p w14:paraId="0EB30B5B" w14:textId="77777777" w:rsidR="00A26E70" w:rsidRPr="002029EA" w:rsidRDefault="00A26E70" w:rsidP="002029EA">
      <w:pPr>
        <w:pStyle w:val="ListParagraph"/>
        <w:ind w:left="1440"/>
        <w:rPr>
          <w:rFonts w:ascii="Georgia" w:hAnsi="Georgia"/>
          <w:sz w:val="24"/>
          <w:szCs w:val="24"/>
        </w:rPr>
      </w:pPr>
      <w:r w:rsidRPr="002029EA">
        <w:rPr>
          <w:rFonts w:ascii="Georgia" w:hAnsi="Georgia"/>
          <w:b/>
          <w:bCs/>
          <w:sz w:val="24"/>
          <w:szCs w:val="24"/>
        </w:rPr>
        <w:t>Promoting access to resources</w:t>
      </w:r>
      <w:r w:rsidRPr="002029EA">
        <w:rPr>
          <w:rFonts w:ascii="Georgia" w:hAnsi="Georgia"/>
          <w:sz w:val="24"/>
          <w:szCs w:val="24"/>
        </w:rPr>
        <w:t>: Support systems often serve as conduits for accessing essential resources and services that families may need to address their challenges. Whether through informal networks of friends and family or formal community organizations and agencies, support systems can help connect families to food assistance, housing support, mental health services, childcare, and other vital resources.</w:t>
      </w:r>
    </w:p>
    <w:p w14:paraId="4D7F1F8B" w14:textId="77777777" w:rsidR="00A26E70" w:rsidRDefault="00A26E70" w:rsidP="002029EA">
      <w:pPr>
        <w:pStyle w:val="ListParagraph"/>
        <w:ind w:left="1440"/>
        <w:rPr>
          <w:rFonts w:ascii="Georgia" w:hAnsi="Georgia"/>
          <w:sz w:val="24"/>
          <w:szCs w:val="24"/>
        </w:rPr>
      </w:pPr>
      <w:r w:rsidRPr="002029EA">
        <w:rPr>
          <w:rFonts w:ascii="Georgia" w:hAnsi="Georgia"/>
          <w:b/>
          <w:bCs/>
          <w:sz w:val="24"/>
          <w:szCs w:val="24"/>
        </w:rPr>
        <w:t>Strengthening family bonds</w:t>
      </w:r>
      <w:r w:rsidRPr="002029EA">
        <w:rPr>
          <w:rFonts w:ascii="Georgia" w:hAnsi="Georgia"/>
          <w:sz w:val="24"/>
          <w:szCs w:val="24"/>
        </w:rPr>
        <w:t>: Adversity can strain relationships within families, leading to conflict, tension, and breakdowns in communication. A strong support system provides opportunities for family members to come together, support one another, and work through challenges collaboratively. By strengthening family bonds and fostering positive relationships, support systems contribute to greater cohesion and resilience within the family unit.</w:t>
      </w:r>
    </w:p>
    <w:p w14:paraId="0857432F" w14:textId="2DB6595D" w:rsidR="000E22EA" w:rsidRPr="000E22EA" w:rsidRDefault="002029EA" w:rsidP="000E22EA">
      <w:pPr>
        <w:pStyle w:val="ListParagraph"/>
        <w:numPr>
          <w:ilvl w:val="1"/>
          <w:numId w:val="11"/>
        </w:numPr>
        <w:rPr>
          <w:rFonts w:ascii="Georgia" w:eastAsiaTheme="minorHAnsi" w:hAnsi="Georgia" w:cstheme="minorBidi"/>
          <w:sz w:val="24"/>
          <w:szCs w:val="24"/>
        </w:rPr>
      </w:pPr>
      <w:r w:rsidRPr="000E22EA">
        <w:rPr>
          <w:rFonts w:ascii="Georgia" w:hAnsi="Georgia"/>
          <w:b/>
          <w:bCs/>
          <w:sz w:val="24"/>
          <w:szCs w:val="24"/>
        </w:rPr>
        <w:t>Caregiver Connections/Community Engagement:</w:t>
      </w:r>
      <w:r w:rsidR="000E22EA" w:rsidRPr="000E22EA">
        <w:rPr>
          <w:rFonts w:ascii="Georgia" w:hAnsi="Georgia"/>
          <w:b/>
          <w:bCs/>
          <w:sz w:val="24"/>
          <w:szCs w:val="24"/>
        </w:rPr>
        <w:t xml:space="preserve">  </w:t>
      </w:r>
      <w:r w:rsidR="000E22EA" w:rsidRPr="000E22EA">
        <w:rPr>
          <w:rFonts w:ascii="Georgia" w:eastAsiaTheme="minorHAnsi" w:hAnsi="Georgia" w:cstheme="minorBidi"/>
          <w:sz w:val="24"/>
          <w:szCs w:val="24"/>
        </w:rPr>
        <w:t>Encouraging caregiver connections at natural meeting points is a valuable strategy for fostering social support and reducing isolation among individuals facing similar challenges. Here's why it's significant:</w:t>
      </w:r>
    </w:p>
    <w:p w14:paraId="78A5DE09" w14:textId="77777777" w:rsidR="000E22EA" w:rsidRPr="000E22EA" w:rsidRDefault="000E22EA" w:rsidP="000E22EA">
      <w:pPr>
        <w:ind w:left="1800"/>
        <w:rPr>
          <w:rFonts w:ascii="Georgia" w:hAnsi="Georgia"/>
          <w:sz w:val="24"/>
          <w:szCs w:val="24"/>
        </w:rPr>
      </w:pPr>
      <w:r w:rsidRPr="000E22EA">
        <w:rPr>
          <w:rFonts w:ascii="Georgia" w:hAnsi="Georgia"/>
          <w:b/>
          <w:bCs/>
          <w:sz w:val="24"/>
          <w:szCs w:val="24"/>
        </w:rPr>
        <w:t>Ease of Access</w:t>
      </w:r>
      <w:r w:rsidRPr="000E22EA">
        <w:rPr>
          <w:rFonts w:ascii="Georgia" w:hAnsi="Georgia"/>
          <w:sz w:val="24"/>
          <w:szCs w:val="24"/>
        </w:rPr>
        <w:t>: Natural meeting points such as daycare centers, schools, community centers, and religious institutions are places where caregivers regularly gather. By leveraging these existing meeting points, it becomes easier to reach caregivers and create opportunities for connection.</w:t>
      </w:r>
    </w:p>
    <w:p w14:paraId="62E308BC" w14:textId="77777777" w:rsidR="000E22EA" w:rsidRPr="000E22EA" w:rsidRDefault="000E22EA" w:rsidP="000E22EA">
      <w:pPr>
        <w:pStyle w:val="ListParagraph"/>
        <w:ind w:left="1800"/>
        <w:rPr>
          <w:rFonts w:ascii="Georgia" w:hAnsi="Georgia"/>
          <w:sz w:val="24"/>
          <w:szCs w:val="24"/>
        </w:rPr>
      </w:pPr>
      <w:r w:rsidRPr="000E22EA">
        <w:rPr>
          <w:rFonts w:ascii="Georgia" w:hAnsi="Georgia"/>
          <w:b/>
          <w:bCs/>
          <w:sz w:val="24"/>
          <w:szCs w:val="24"/>
        </w:rPr>
        <w:t>Shared Experiences</w:t>
      </w:r>
      <w:r w:rsidRPr="000E22EA">
        <w:rPr>
          <w:rFonts w:ascii="Georgia" w:hAnsi="Georgia"/>
          <w:sz w:val="24"/>
          <w:szCs w:val="24"/>
        </w:rPr>
        <w:t>: Caregivers often share common experiences, whether they're parenting young children, caring for elderly family members, or supporting loved ones with disabilities. Meeting at natural gathering spots allows caregivers to connect with others who understand their experiences and can offer empathy and understanding.</w:t>
      </w:r>
    </w:p>
    <w:p w14:paraId="4C4B00C1" w14:textId="77777777" w:rsidR="000E22EA" w:rsidRPr="000E22EA" w:rsidRDefault="000E22EA" w:rsidP="000E22EA">
      <w:pPr>
        <w:pStyle w:val="ListParagraph"/>
        <w:ind w:left="1800"/>
        <w:rPr>
          <w:rFonts w:ascii="Georgia" w:hAnsi="Georgia"/>
          <w:sz w:val="24"/>
          <w:szCs w:val="24"/>
        </w:rPr>
      </w:pPr>
      <w:r w:rsidRPr="000E22EA">
        <w:rPr>
          <w:rFonts w:ascii="Georgia" w:hAnsi="Georgia"/>
          <w:b/>
          <w:bCs/>
          <w:sz w:val="24"/>
          <w:szCs w:val="24"/>
        </w:rPr>
        <w:t>Reducing Stigma</w:t>
      </w:r>
      <w:r w:rsidRPr="000E22EA">
        <w:rPr>
          <w:rFonts w:ascii="Georgia" w:hAnsi="Georgia"/>
          <w:sz w:val="24"/>
          <w:szCs w:val="24"/>
        </w:rPr>
        <w:t>: Meeting at familiar and neutral locations can help reduce the stigma associated with seeking support for caregiving challenges. When caregivers see others in similar situations openly discussing their experiences and seeking help, it can normalize the experience of caregiving and encourage more individuals to seek support.</w:t>
      </w:r>
    </w:p>
    <w:p w14:paraId="70EF6549" w14:textId="77777777" w:rsidR="000E22EA" w:rsidRPr="000E22EA" w:rsidRDefault="000E22EA" w:rsidP="000E22EA">
      <w:pPr>
        <w:pStyle w:val="ListParagraph"/>
        <w:ind w:left="1800"/>
        <w:rPr>
          <w:rFonts w:ascii="Georgia" w:hAnsi="Georgia"/>
          <w:sz w:val="24"/>
          <w:szCs w:val="24"/>
        </w:rPr>
      </w:pPr>
      <w:r w:rsidRPr="000E22EA">
        <w:rPr>
          <w:rFonts w:ascii="Georgia" w:hAnsi="Georgia"/>
          <w:b/>
          <w:bCs/>
          <w:sz w:val="24"/>
          <w:szCs w:val="24"/>
        </w:rPr>
        <w:t>Building Community</w:t>
      </w:r>
      <w:r w:rsidRPr="000E22EA">
        <w:rPr>
          <w:rFonts w:ascii="Georgia" w:hAnsi="Georgia"/>
          <w:sz w:val="24"/>
          <w:szCs w:val="24"/>
        </w:rPr>
        <w:t>: Caregiver connections at natural meeting points contribute to the creation of supportive communities. These communities provide a sense of belonging and camaraderie, where caregivers can share resources, offer practical advice, and provide emotional support to one another.</w:t>
      </w:r>
    </w:p>
    <w:p w14:paraId="2B0D9EBA" w14:textId="77777777" w:rsidR="000E22EA" w:rsidRPr="000E22EA" w:rsidRDefault="000E22EA" w:rsidP="000E22EA">
      <w:pPr>
        <w:pStyle w:val="ListParagraph"/>
        <w:ind w:left="1080"/>
        <w:rPr>
          <w:rFonts w:ascii="Georgia" w:hAnsi="Georgia"/>
          <w:sz w:val="24"/>
          <w:szCs w:val="24"/>
        </w:rPr>
      </w:pPr>
    </w:p>
    <w:p w14:paraId="448F0D20" w14:textId="77777777" w:rsidR="000E22EA" w:rsidRPr="000E22EA" w:rsidRDefault="000E22EA" w:rsidP="000E22EA">
      <w:pPr>
        <w:pStyle w:val="ListParagraph"/>
        <w:ind w:left="1080"/>
        <w:rPr>
          <w:rFonts w:ascii="Georgia" w:hAnsi="Georgia"/>
          <w:sz w:val="24"/>
          <w:szCs w:val="24"/>
        </w:rPr>
      </w:pPr>
      <w:r w:rsidRPr="000E22EA">
        <w:rPr>
          <w:rFonts w:ascii="Georgia" w:hAnsi="Georgia"/>
          <w:b/>
          <w:bCs/>
          <w:sz w:val="24"/>
          <w:szCs w:val="24"/>
        </w:rPr>
        <w:lastRenderedPageBreak/>
        <w:t>Resource Sharing</w:t>
      </w:r>
      <w:r w:rsidRPr="000E22EA">
        <w:rPr>
          <w:rFonts w:ascii="Georgia" w:hAnsi="Georgia"/>
          <w:sz w:val="24"/>
          <w:szCs w:val="24"/>
        </w:rPr>
        <w:t>: Natural meeting points often offer access to resources and information that can benefit caregivers. For example, daycare centers may host parenting workshops, schools may offer support groups for parents, and community centers may provide access to social services. Encouraging caregiver connections at these locations facilitates the sharing of valuable resources and knowledge.</w:t>
      </w:r>
    </w:p>
    <w:p w14:paraId="79822FE0" w14:textId="77777777" w:rsidR="000E22EA" w:rsidRPr="000E22EA" w:rsidRDefault="000E22EA" w:rsidP="000E22EA">
      <w:pPr>
        <w:spacing w:after="160" w:line="259" w:lineRule="auto"/>
        <w:ind w:left="1080"/>
        <w:rPr>
          <w:rFonts w:ascii="Georgia" w:eastAsiaTheme="minorHAnsi" w:hAnsi="Georgia" w:cstheme="minorBidi"/>
          <w:sz w:val="24"/>
          <w:szCs w:val="24"/>
        </w:rPr>
      </w:pPr>
      <w:r w:rsidRPr="000E22EA">
        <w:rPr>
          <w:rFonts w:ascii="Georgia" w:eastAsiaTheme="minorHAnsi" w:hAnsi="Georgia" w:cstheme="minorBidi"/>
          <w:b/>
          <w:bCs/>
          <w:sz w:val="24"/>
          <w:szCs w:val="24"/>
        </w:rPr>
        <w:t>Promoting Self-Care</w:t>
      </w:r>
      <w:r w:rsidRPr="000E22EA">
        <w:rPr>
          <w:rFonts w:ascii="Georgia" w:eastAsiaTheme="minorHAnsi" w:hAnsi="Georgia" w:cstheme="minorBidi"/>
          <w:sz w:val="24"/>
          <w:szCs w:val="24"/>
        </w:rPr>
        <w:t>: Caregivers who feel connected to a supportive community are more likely to prioritize their own well-being and engage in self-care activities. Meeting with other caregivers provides opportunities for relaxation, socialization, and stress relief, which are essential components of effective caregiving.</w:t>
      </w:r>
    </w:p>
    <w:p w14:paraId="76AFAA21" w14:textId="77777777" w:rsidR="000E22EA" w:rsidRPr="000E22EA" w:rsidRDefault="000E22EA" w:rsidP="000E22EA">
      <w:pPr>
        <w:ind w:left="1080"/>
        <w:rPr>
          <w:rFonts w:ascii="Georgia" w:hAnsi="Georgia"/>
          <w:sz w:val="24"/>
          <w:szCs w:val="24"/>
        </w:rPr>
      </w:pPr>
      <w:r w:rsidRPr="000E22EA">
        <w:rPr>
          <w:rFonts w:ascii="Georgia" w:hAnsi="Georgia"/>
          <w:sz w:val="24"/>
          <w:szCs w:val="24"/>
        </w:rPr>
        <w:t>Overall, encouraging caregiver connections at natural meeting points is essential for creating supportive communities where caregivers can find understanding, resources, and solidarity as they navigate the challenges of caregiving. By leveraging existing gathering spots and fostering connections among caregivers, we can enhance the well-being of both caregivers and those under their care.</w:t>
      </w:r>
    </w:p>
    <w:p w14:paraId="3025C21E" w14:textId="77777777" w:rsidR="00DC3C11" w:rsidRPr="005E451A" w:rsidRDefault="00DC3C11" w:rsidP="005E451A">
      <w:pPr>
        <w:tabs>
          <w:tab w:val="left" w:pos="1080"/>
        </w:tabs>
        <w:spacing w:before="64" w:line="314" w:lineRule="exact"/>
        <w:textAlignment w:val="baseline"/>
        <w:rPr>
          <w:rFonts w:ascii="Georgia" w:eastAsia="Times New Roman" w:hAnsi="Georgia"/>
          <w:color w:val="000000"/>
          <w:spacing w:val="2"/>
          <w:sz w:val="24"/>
          <w:szCs w:val="24"/>
        </w:rPr>
      </w:pPr>
    </w:p>
    <w:p w14:paraId="29E285BE" w14:textId="382A31DB" w:rsidR="00FF66B7" w:rsidRPr="000E22EA" w:rsidRDefault="00F737C1" w:rsidP="000E22EA">
      <w:pPr>
        <w:pStyle w:val="ListParagraph"/>
        <w:numPr>
          <w:ilvl w:val="0"/>
          <w:numId w:val="11"/>
        </w:numPr>
        <w:spacing w:before="64" w:line="314" w:lineRule="exact"/>
        <w:textAlignment w:val="baseline"/>
        <w:rPr>
          <w:rFonts w:ascii="Georgia" w:eastAsia="Times New Roman" w:hAnsi="Georgia"/>
          <w:color w:val="000000"/>
          <w:spacing w:val="5"/>
          <w:sz w:val="24"/>
          <w:szCs w:val="24"/>
        </w:rPr>
      </w:pPr>
      <w:r w:rsidRPr="00270A8E">
        <w:rPr>
          <w:rFonts w:ascii="Georgia" w:eastAsia="Times New Roman" w:hAnsi="Georgia"/>
          <w:color w:val="000000"/>
          <w:spacing w:val="5"/>
          <w:sz w:val="24"/>
          <w:szCs w:val="24"/>
        </w:rPr>
        <w:t>P</w:t>
      </w:r>
      <w:r w:rsidR="00E8194C" w:rsidRPr="00270A8E">
        <w:rPr>
          <w:rFonts w:ascii="Georgia" w:eastAsia="Times New Roman" w:hAnsi="Georgia"/>
          <w:color w:val="000000"/>
          <w:spacing w:val="5"/>
          <w:sz w:val="24"/>
          <w:szCs w:val="24"/>
        </w:rPr>
        <w:t xml:space="preserve">age </w:t>
      </w:r>
      <w:r w:rsidR="002029EA">
        <w:rPr>
          <w:rFonts w:ascii="Georgia" w:eastAsia="Times New Roman" w:hAnsi="Georgia"/>
          <w:color w:val="000000"/>
          <w:spacing w:val="5"/>
          <w:sz w:val="24"/>
          <w:szCs w:val="24"/>
        </w:rPr>
        <w:t>8</w:t>
      </w:r>
      <w:r w:rsidR="000E22EA">
        <w:rPr>
          <w:rFonts w:ascii="Georgia" w:eastAsia="Times New Roman" w:hAnsi="Georgia"/>
          <w:color w:val="000000"/>
          <w:spacing w:val="5"/>
          <w:sz w:val="24"/>
          <w:szCs w:val="24"/>
        </w:rPr>
        <w:t xml:space="preserve">:  Review the reasons why the quality of relationships </w:t>
      </w:r>
      <w:r w:rsidR="00E445B1">
        <w:rPr>
          <w:rFonts w:ascii="Georgia" w:eastAsia="Times New Roman" w:hAnsi="Georgia"/>
          <w:color w:val="000000"/>
          <w:spacing w:val="5"/>
          <w:sz w:val="24"/>
          <w:szCs w:val="24"/>
        </w:rPr>
        <w:t xml:space="preserve">over quantity of relationships is so crucial.  </w:t>
      </w:r>
    </w:p>
    <w:p w14:paraId="5D4C1950" w14:textId="77777777" w:rsidR="00270A8E" w:rsidRPr="00270A8E" w:rsidRDefault="00270A8E" w:rsidP="00F737C1">
      <w:pPr>
        <w:spacing w:before="52" w:line="314" w:lineRule="exact"/>
        <w:textAlignment w:val="baseline"/>
        <w:rPr>
          <w:rFonts w:ascii="Georgia" w:eastAsia="Times New Roman" w:hAnsi="Georgia"/>
          <w:color w:val="000000"/>
          <w:spacing w:val="9"/>
          <w:sz w:val="24"/>
          <w:szCs w:val="24"/>
        </w:rPr>
      </w:pPr>
    </w:p>
    <w:p w14:paraId="47D81D39" w14:textId="74F218F8" w:rsidR="00F737C1" w:rsidRPr="00E445B1" w:rsidRDefault="00F737C1" w:rsidP="00E445B1">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Page </w:t>
      </w:r>
      <w:r w:rsidR="00E445B1">
        <w:rPr>
          <w:rFonts w:ascii="Georgia" w:eastAsia="Times New Roman" w:hAnsi="Georgia"/>
          <w:color w:val="000000"/>
          <w:spacing w:val="9"/>
          <w:sz w:val="24"/>
          <w:szCs w:val="24"/>
        </w:rPr>
        <w:t xml:space="preserve">9-10:  Review the role of community engagement when it comes to promoting family resilience.  </w:t>
      </w:r>
    </w:p>
    <w:p w14:paraId="336EBE15" w14:textId="77777777" w:rsidR="00F737C1" w:rsidRPr="00270A8E" w:rsidRDefault="00F737C1" w:rsidP="00F737C1">
      <w:pPr>
        <w:pStyle w:val="ListParagraph"/>
        <w:spacing w:before="52" w:line="314" w:lineRule="exact"/>
        <w:ind w:left="1800"/>
        <w:textAlignment w:val="baseline"/>
        <w:rPr>
          <w:rFonts w:ascii="Georgia" w:eastAsia="Times New Roman" w:hAnsi="Georgia"/>
          <w:color w:val="000000"/>
          <w:spacing w:val="9"/>
          <w:sz w:val="24"/>
          <w:szCs w:val="24"/>
        </w:rPr>
      </w:pPr>
    </w:p>
    <w:p w14:paraId="2FD718A8" w14:textId="1B52D2D3" w:rsidR="00AC196C" w:rsidRDefault="00F737C1" w:rsidP="00E445B1">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sidRPr="00270A8E">
        <w:rPr>
          <w:rFonts w:ascii="Georgia" w:eastAsia="Times New Roman" w:hAnsi="Georgia"/>
          <w:color w:val="000000"/>
          <w:spacing w:val="9"/>
          <w:sz w:val="24"/>
          <w:szCs w:val="24"/>
        </w:rPr>
        <w:t xml:space="preserve">Page </w:t>
      </w:r>
      <w:r w:rsidR="005E451A">
        <w:rPr>
          <w:rFonts w:ascii="Georgia" w:eastAsia="Times New Roman" w:hAnsi="Georgia"/>
          <w:color w:val="000000"/>
          <w:spacing w:val="9"/>
          <w:sz w:val="24"/>
          <w:szCs w:val="24"/>
        </w:rPr>
        <w:t>11</w:t>
      </w:r>
      <w:r w:rsidR="00E445B1">
        <w:rPr>
          <w:rFonts w:ascii="Georgia" w:eastAsia="Times New Roman" w:hAnsi="Georgia"/>
          <w:color w:val="000000"/>
          <w:spacing w:val="9"/>
          <w:sz w:val="24"/>
          <w:szCs w:val="24"/>
        </w:rPr>
        <w:t xml:space="preserve">:  Review the importance of creating inclusive and welcome spaces for caregivers to connect and de-stress.  </w:t>
      </w:r>
    </w:p>
    <w:p w14:paraId="06F0996A" w14:textId="77777777" w:rsidR="00BC2691" w:rsidRPr="00BC2691" w:rsidRDefault="00BC2691" w:rsidP="00BC2691">
      <w:pPr>
        <w:pStyle w:val="ListParagraph"/>
        <w:rPr>
          <w:rFonts w:ascii="Georgia" w:eastAsia="Times New Roman" w:hAnsi="Georgia"/>
          <w:color w:val="000000"/>
          <w:spacing w:val="9"/>
          <w:sz w:val="24"/>
          <w:szCs w:val="24"/>
        </w:rPr>
      </w:pPr>
    </w:p>
    <w:p w14:paraId="57C0715D" w14:textId="4651C3EA" w:rsidR="00BC2691" w:rsidRPr="00BC2691" w:rsidRDefault="00BC2691" w:rsidP="00BC2691">
      <w:pPr>
        <w:pStyle w:val="ListParagraph"/>
        <w:numPr>
          <w:ilvl w:val="1"/>
          <w:numId w:val="11"/>
        </w:numPr>
        <w:rPr>
          <w:rFonts w:ascii="Georgia" w:hAnsi="Georgia"/>
          <w:sz w:val="24"/>
          <w:szCs w:val="24"/>
        </w:rPr>
      </w:pPr>
      <w:r w:rsidRPr="00BC2691">
        <w:rPr>
          <w:rFonts w:ascii="Georgia" w:hAnsi="Georgia"/>
          <w:sz w:val="24"/>
          <w:szCs w:val="24"/>
        </w:rPr>
        <w:t>In summary, creating inclusive and welcoming spaces for caregivers to connect and de-stress is essential for promoting mental health, reducing isolation, encouraging peer support, fostering empowerment, building community, and promoting diversity and inclusion. By prioritizing caregivers' well-being and providing them with the support they need, we can create a more compassionate and resilient society for all.</w:t>
      </w:r>
    </w:p>
    <w:p w14:paraId="78FC6D0E" w14:textId="77777777" w:rsidR="00BC2691" w:rsidRPr="00BC2691" w:rsidRDefault="00BC2691" w:rsidP="00BC2691">
      <w:pPr>
        <w:spacing w:before="52" w:line="314" w:lineRule="exact"/>
        <w:textAlignment w:val="baseline"/>
        <w:rPr>
          <w:rFonts w:ascii="Georgia" w:eastAsia="Times New Roman" w:hAnsi="Georgia"/>
          <w:color w:val="000000"/>
          <w:spacing w:val="9"/>
          <w:sz w:val="24"/>
          <w:szCs w:val="24"/>
        </w:rPr>
      </w:pPr>
    </w:p>
    <w:p w14:paraId="7ABDB24F" w14:textId="77777777" w:rsidR="00E445B1" w:rsidRPr="00E445B1" w:rsidRDefault="00E445B1" w:rsidP="00E445B1">
      <w:pPr>
        <w:pStyle w:val="ListParagraph"/>
        <w:rPr>
          <w:rFonts w:ascii="Georgia" w:eastAsia="Times New Roman" w:hAnsi="Georgia"/>
          <w:color w:val="000000"/>
          <w:spacing w:val="9"/>
          <w:sz w:val="24"/>
          <w:szCs w:val="24"/>
        </w:rPr>
      </w:pPr>
    </w:p>
    <w:p w14:paraId="77971997" w14:textId="2E583D97" w:rsidR="00E445B1" w:rsidRPr="00E445B1" w:rsidRDefault="00E445B1" w:rsidP="00E445B1">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Page 12:  Review </w:t>
      </w:r>
      <w:proofErr w:type="gramStart"/>
      <w:r>
        <w:rPr>
          <w:rFonts w:ascii="Georgia" w:eastAsia="Times New Roman" w:hAnsi="Georgia"/>
          <w:color w:val="000000"/>
          <w:spacing w:val="9"/>
          <w:sz w:val="24"/>
          <w:szCs w:val="24"/>
        </w:rPr>
        <w:t>why</w:t>
      </w:r>
      <w:proofErr w:type="gramEnd"/>
      <w:r>
        <w:rPr>
          <w:rFonts w:ascii="Georgia" w:eastAsia="Times New Roman" w:hAnsi="Georgia"/>
          <w:color w:val="000000"/>
          <w:spacing w:val="9"/>
          <w:sz w:val="24"/>
          <w:szCs w:val="24"/>
        </w:rPr>
        <w:t xml:space="preserve"> </w:t>
      </w:r>
      <w:r>
        <w:rPr>
          <w:rFonts w:ascii="Georgia" w:hAnsi="Georgia"/>
          <w:sz w:val="24"/>
          <w:szCs w:val="24"/>
        </w:rPr>
        <w:t>e</w:t>
      </w:r>
      <w:r w:rsidRPr="00E445B1">
        <w:rPr>
          <w:rFonts w:ascii="Georgia" w:hAnsi="Georgia"/>
          <w:sz w:val="24"/>
          <w:szCs w:val="24"/>
        </w:rPr>
        <w:t>xploring natural meeting points within communities and soliciting input from caregivers themselves on preferred activities or supports is essential for creating inclusive and effective support networks.</w:t>
      </w:r>
    </w:p>
    <w:p w14:paraId="2170209F" w14:textId="77777777" w:rsidR="00E445B1" w:rsidRPr="00E445B1" w:rsidRDefault="00E445B1" w:rsidP="00E445B1">
      <w:pPr>
        <w:pStyle w:val="ListParagraph"/>
        <w:rPr>
          <w:rFonts w:ascii="Georgia" w:eastAsia="Times New Roman" w:hAnsi="Georgia"/>
          <w:color w:val="000000"/>
          <w:spacing w:val="9"/>
          <w:sz w:val="24"/>
          <w:szCs w:val="24"/>
        </w:rPr>
      </w:pPr>
    </w:p>
    <w:p w14:paraId="42DFDEB8" w14:textId="1878F1CF" w:rsidR="00E445B1" w:rsidRPr="00BC2691" w:rsidRDefault="00BC2691" w:rsidP="00BC2691">
      <w:pPr>
        <w:pStyle w:val="ListParagraph"/>
        <w:ind w:left="1440"/>
        <w:rPr>
          <w:rFonts w:ascii="Georgia" w:hAnsi="Georgia"/>
          <w:sz w:val="24"/>
          <w:szCs w:val="24"/>
        </w:rPr>
      </w:pPr>
      <w:r>
        <w:t xml:space="preserve">a. </w:t>
      </w:r>
      <w:r w:rsidRPr="00BC2691">
        <w:rPr>
          <w:rFonts w:ascii="Georgia" w:hAnsi="Georgia"/>
          <w:sz w:val="24"/>
          <w:szCs w:val="24"/>
        </w:rPr>
        <w:t xml:space="preserve">In summary, encouraging participants to explore natural meeting points within their communities and solicit input from caregivers themselves on preferred activities or supports is key to creating </w:t>
      </w:r>
      <w:r w:rsidRPr="00BC2691">
        <w:rPr>
          <w:rFonts w:ascii="Georgia" w:hAnsi="Georgia"/>
          <w:sz w:val="24"/>
          <w:szCs w:val="24"/>
        </w:rPr>
        <w:lastRenderedPageBreak/>
        <w:t>inclusive, relevant, and effective support networks. By engaging caregivers as partners in the process, participants can empower them to take an active role in shaping the support services that best meet their needs and preferences.</w:t>
      </w:r>
    </w:p>
    <w:p w14:paraId="6A13E02A" w14:textId="77777777" w:rsidR="00AC196C" w:rsidRPr="00DC3C11" w:rsidRDefault="00AC196C" w:rsidP="00DC3C11">
      <w:pPr>
        <w:spacing w:before="52" w:line="314" w:lineRule="exact"/>
        <w:textAlignment w:val="baseline"/>
        <w:rPr>
          <w:rFonts w:ascii="Georgia" w:eastAsia="Times New Roman" w:hAnsi="Georgia"/>
          <w:color w:val="000000"/>
          <w:spacing w:val="9"/>
          <w:sz w:val="24"/>
          <w:szCs w:val="24"/>
        </w:rPr>
      </w:pPr>
    </w:p>
    <w:p w14:paraId="3280E66A" w14:textId="04F81D9E" w:rsidR="00AC196C" w:rsidRPr="004373F5" w:rsidRDefault="00BC2691" w:rsidP="004373F5">
      <w:pPr>
        <w:pStyle w:val="ListParagraph"/>
        <w:numPr>
          <w:ilvl w:val="0"/>
          <w:numId w:val="11"/>
        </w:numPr>
        <w:spacing w:before="52" w:line="314" w:lineRule="exact"/>
        <w:textAlignment w:val="baseline"/>
        <w:rPr>
          <w:rFonts w:ascii="Georgia" w:eastAsia="Times New Roman" w:hAnsi="Georgia"/>
          <w:color w:val="000000"/>
          <w:spacing w:val="9"/>
          <w:sz w:val="24"/>
          <w:szCs w:val="24"/>
        </w:rPr>
      </w:pPr>
      <w:r>
        <w:rPr>
          <w:rFonts w:ascii="Georgia" w:eastAsia="Times New Roman" w:hAnsi="Georgia"/>
          <w:color w:val="000000"/>
          <w:spacing w:val="9"/>
          <w:sz w:val="24"/>
          <w:szCs w:val="24"/>
        </w:rPr>
        <w:t xml:space="preserve"> </w:t>
      </w:r>
      <w:r w:rsidR="00F737C1" w:rsidRPr="00270A8E">
        <w:rPr>
          <w:rFonts w:ascii="Georgia" w:eastAsia="Times New Roman" w:hAnsi="Georgia"/>
          <w:color w:val="000000"/>
          <w:spacing w:val="9"/>
          <w:sz w:val="24"/>
          <w:szCs w:val="24"/>
        </w:rPr>
        <w:t>Page</w:t>
      </w:r>
      <w:r w:rsidR="00AC196C">
        <w:rPr>
          <w:rFonts w:ascii="Georgia" w:eastAsia="Times New Roman" w:hAnsi="Georgia"/>
          <w:color w:val="000000"/>
          <w:spacing w:val="9"/>
          <w:sz w:val="24"/>
          <w:szCs w:val="24"/>
        </w:rPr>
        <w:t xml:space="preserve"> 1</w:t>
      </w:r>
      <w:r>
        <w:rPr>
          <w:rFonts w:ascii="Georgia" w:eastAsia="Times New Roman" w:hAnsi="Georgia"/>
          <w:color w:val="000000"/>
          <w:spacing w:val="9"/>
          <w:sz w:val="24"/>
          <w:szCs w:val="24"/>
        </w:rPr>
        <w:t>3</w:t>
      </w:r>
      <w:r w:rsidR="00E445B1">
        <w:rPr>
          <w:rFonts w:ascii="Georgia" w:eastAsia="Times New Roman" w:hAnsi="Georgia"/>
          <w:color w:val="000000"/>
          <w:spacing w:val="9"/>
          <w:sz w:val="24"/>
          <w:szCs w:val="24"/>
        </w:rPr>
        <w:t>:</w:t>
      </w:r>
      <w:r w:rsidR="004373F5">
        <w:rPr>
          <w:rFonts w:ascii="Georgia" w:eastAsia="Times New Roman" w:hAnsi="Georgia"/>
          <w:color w:val="000000"/>
          <w:spacing w:val="9"/>
          <w:sz w:val="24"/>
          <w:szCs w:val="24"/>
        </w:rPr>
        <w:t xml:space="preserve">   Review Questions</w:t>
      </w:r>
    </w:p>
    <w:p w14:paraId="1099D994" w14:textId="77777777" w:rsidR="00BC2691" w:rsidRDefault="004373F5" w:rsidP="00BC2691">
      <w:pPr>
        <w:pStyle w:val="NormalWeb"/>
        <w:spacing w:before="0" w:beforeAutospacing="0" w:after="0" w:afterAutospacing="0"/>
        <w:rPr>
          <w:rFonts w:ascii="Georgia" w:hAnsi="Georgia"/>
          <w:color w:val="000000"/>
          <w:spacing w:val="9"/>
        </w:rPr>
      </w:pPr>
      <w:r>
        <w:rPr>
          <w:rFonts w:ascii="Georgia" w:hAnsi="Georgia"/>
          <w:color w:val="000000"/>
          <w:spacing w:val="9"/>
        </w:rPr>
        <w:t xml:space="preserve"> </w:t>
      </w:r>
    </w:p>
    <w:p w14:paraId="6904A5B6" w14:textId="4E9F8914" w:rsidR="00BC2691" w:rsidRPr="00BC2691" w:rsidRDefault="00BC2691" w:rsidP="00BC2691">
      <w:pPr>
        <w:pStyle w:val="NormalWeb"/>
        <w:numPr>
          <w:ilvl w:val="1"/>
          <w:numId w:val="11"/>
        </w:numPr>
        <w:spacing w:before="0" w:beforeAutospacing="0" w:after="0" w:afterAutospacing="0"/>
        <w:rPr>
          <w:rFonts w:ascii="Georgia" w:hAnsi="Georgia"/>
        </w:rPr>
      </w:pPr>
      <w:r>
        <w:rPr>
          <w:rFonts w:ascii="Georgia" w:eastAsiaTheme="minorEastAsia" w:hAnsi="Georgia" w:cstheme="minorBidi"/>
          <w:color w:val="000000" w:themeColor="text1"/>
          <w:kern w:val="24"/>
        </w:rPr>
        <w:t xml:space="preserve"> </w:t>
      </w:r>
      <w:r w:rsidRPr="00BC2691">
        <w:rPr>
          <w:rFonts w:ascii="Georgia" w:eastAsiaTheme="minorEastAsia" w:hAnsi="Georgia" w:cstheme="minorBidi"/>
          <w:color w:val="000000" w:themeColor="text1"/>
          <w:kern w:val="24"/>
        </w:rPr>
        <w:t>What is the significance of exploring natural meeting points within communities for caregiver support initiatives?</w:t>
      </w:r>
    </w:p>
    <w:p w14:paraId="058716F1" w14:textId="77777777" w:rsidR="00BC2691" w:rsidRDefault="00BC2691" w:rsidP="00BC2691">
      <w:pPr>
        <w:pStyle w:val="NormalWeb"/>
        <w:spacing w:before="0" w:beforeAutospacing="0" w:after="0" w:afterAutospacing="0"/>
        <w:rPr>
          <w:rFonts w:ascii="Georgia" w:eastAsiaTheme="minorEastAsia" w:hAnsi="Georgia" w:cstheme="minorBidi"/>
          <w:color w:val="000000" w:themeColor="text1"/>
          <w:kern w:val="24"/>
        </w:rPr>
      </w:pPr>
    </w:p>
    <w:p w14:paraId="7256354B" w14:textId="0E5E7E83" w:rsidR="00BC2691" w:rsidRDefault="00BC2691" w:rsidP="00BC2691">
      <w:pPr>
        <w:pStyle w:val="NormalWeb"/>
        <w:spacing w:before="0" w:beforeAutospacing="0" w:after="0" w:afterAutospacing="0"/>
        <w:ind w:left="1440"/>
        <w:rPr>
          <w:rFonts w:ascii="Georgia" w:eastAsiaTheme="minorEastAsia" w:hAnsi="Georgia" w:cstheme="minorBidi"/>
          <w:color w:val="000000" w:themeColor="text1"/>
          <w:kern w:val="24"/>
        </w:rPr>
      </w:pPr>
      <w:r>
        <w:rPr>
          <w:rFonts w:ascii="Georgia" w:eastAsiaTheme="minorEastAsia" w:hAnsi="Georgia" w:cstheme="minorBidi"/>
          <w:color w:val="000000" w:themeColor="text1"/>
          <w:kern w:val="24"/>
        </w:rPr>
        <w:t xml:space="preserve">Answer:  </w:t>
      </w:r>
      <w:r w:rsidRPr="00BC2691">
        <w:rPr>
          <w:rFonts w:ascii="Georgia" w:eastAsiaTheme="minorEastAsia" w:hAnsi="Georgia" w:cstheme="minorBidi"/>
          <w:color w:val="000000" w:themeColor="text1"/>
          <w:kern w:val="24"/>
        </w:rPr>
        <w:t>It provides opportunities to engage caregivers in familiar and accessible environments.</w:t>
      </w:r>
    </w:p>
    <w:p w14:paraId="4DAF035A" w14:textId="77777777" w:rsidR="00BC2691" w:rsidRPr="00BC2691" w:rsidRDefault="00BC2691" w:rsidP="00BC2691">
      <w:pPr>
        <w:pStyle w:val="NormalWeb"/>
        <w:spacing w:before="0" w:beforeAutospacing="0" w:after="0" w:afterAutospacing="0"/>
        <w:ind w:left="1440"/>
        <w:rPr>
          <w:rFonts w:ascii="Georgia" w:hAnsi="Georgia"/>
        </w:rPr>
      </w:pPr>
    </w:p>
    <w:p w14:paraId="704779F3" w14:textId="03A824E0" w:rsidR="00BC2691" w:rsidRPr="00CD0F02" w:rsidRDefault="00BC2691" w:rsidP="00CD0F02">
      <w:pPr>
        <w:pStyle w:val="NormalWeb"/>
        <w:numPr>
          <w:ilvl w:val="1"/>
          <w:numId w:val="11"/>
        </w:numPr>
        <w:spacing w:before="0" w:beforeAutospacing="0" w:after="0" w:afterAutospacing="0"/>
        <w:rPr>
          <w:rFonts w:ascii="Georgia" w:hAnsi="Georgia"/>
        </w:rPr>
      </w:pPr>
      <w:r w:rsidRPr="00CD0F02">
        <w:rPr>
          <w:rFonts w:ascii="Georgia" w:eastAsiaTheme="minorEastAsia" w:hAnsi="Georgia" w:cstheme="minorBidi"/>
          <w:color w:val="000000" w:themeColor="text1"/>
          <w:kern w:val="24"/>
        </w:rPr>
        <w:t>How can engaging caregivers in the planning and implementation of support initiatives benefit both participants and caregivers?</w:t>
      </w:r>
    </w:p>
    <w:p w14:paraId="45E280C1" w14:textId="77777777" w:rsidR="00CD0F02" w:rsidRDefault="00CD0F02" w:rsidP="00BC2691">
      <w:pPr>
        <w:pStyle w:val="NormalWeb"/>
        <w:spacing w:before="0" w:beforeAutospacing="0" w:after="0" w:afterAutospacing="0"/>
        <w:rPr>
          <w:rFonts w:ascii="Georgia" w:eastAsiaTheme="minorEastAsia" w:hAnsi="Georgia" w:cstheme="minorBidi"/>
          <w:color w:val="000000" w:themeColor="text1"/>
          <w:kern w:val="24"/>
        </w:rPr>
      </w:pPr>
    </w:p>
    <w:p w14:paraId="011E5B4A" w14:textId="5951981B" w:rsidR="00BC2691" w:rsidRDefault="00CD0F02" w:rsidP="00CD0F02">
      <w:pPr>
        <w:pStyle w:val="NormalWeb"/>
        <w:spacing w:before="0" w:beforeAutospacing="0" w:after="0" w:afterAutospacing="0"/>
        <w:ind w:left="1440"/>
        <w:rPr>
          <w:rFonts w:ascii="Georgia" w:eastAsiaTheme="minorEastAsia" w:hAnsi="Georgia" w:cstheme="minorBidi"/>
          <w:color w:val="000000" w:themeColor="text1"/>
          <w:kern w:val="24"/>
        </w:rPr>
      </w:pPr>
      <w:r>
        <w:rPr>
          <w:rFonts w:ascii="Georgia" w:eastAsiaTheme="minorEastAsia" w:hAnsi="Georgia" w:cstheme="minorBidi"/>
          <w:color w:val="000000" w:themeColor="text1"/>
          <w:kern w:val="24"/>
        </w:rPr>
        <w:t xml:space="preserve">Answer:  </w:t>
      </w:r>
      <w:r w:rsidR="00BC2691" w:rsidRPr="00BC2691">
        <w:rPr>
          <w:rFonts w:ascii="Georgia" w:eastAsiaTheme="minorEastAsia" w:hAnsi="Georgia" w:cstheme="minorBidi"/>
          <w:color w:val="000000" w:themeColor="text1"/>
          <w:kern w:val="24"/>
        </w:rPr>
        <w:t>It fosters trust, rapport, and partnership between participants and caregivers.</w:t>
      </w:r>
    </w:p>
    <w:p w14:paraId="3952B22F" w14:textId="77777777" w:rsidR="00CD0F02" w:rsidRPr="00BC2691" w:rsidRDefault="00CD0F02" w:rsidP="00CD0F02">
      <w:pPr>
        <w:pStyle w:val="NormalWeb"/>
        <w:spacing w:before="0" w:beforeAutospacing="0" w:after="0" w:afterAutospacing="0"/>
        <w:ind w:left="1440"/>
        <w:rPr>
          <w:rFonts w:ascii="Georgia" w:hAnsi="Georgia"/>
        </w:rPr>
      </w:pPr>
    </w:p>
    <w:p w14:paraId="04A0CAAD" w14:textId="70926246" w:rsidR="00BC2691" w:rsidRPr="00BC2691" w:rsidRDefault="00CD0F02" w:rsidP="00CD0F02">
      <w:pPr>
        <w:pStyle w:val="NormalWeb"/>
        <w:numPr>
          <w:ilvl w:val="1"/>
          <w:numId w:val="11"/>
        </w:numPr>
        <w:spacing w:before="0" w:beforeAutospacing="0" w:after="0" w:afterAutospacing="0"/>
        <w:rPr>
          <w:rFonts w:ascii="Georgia" w:hAnsi="Georgia"/>
        </w:rPr>
      </w:pPr>
      <w:r>
        <w:rPr>
          <w:rFonts w:ascii="Georgia" w:eastAsiaTheme="minorEastAsia" w:hAnsi="Georgia" w:cstheme="minorBidi"/>
          <w:color w:val="000000" w:themeColor="text1"/>
          <w:kern w:val="24"/>
        </w:rPr>
        <w:t xml:space="preserve"> </w:t>
      </w:r>
      <w:r w:rsidR="00BC2691" w:rsidRPr="00BC2691">
        <w:rPr>
          <w:rFonts w:ascii="Georgia" w:eastAsiaTheme="minorEastAsia" w:hAnsi="Georgia" w:cstheme="minorBidi"/>
          <w:color w:val="000000" w:themeColor="text1"/>
          <w:kern w:val="24"/>
        </w:rPr>
        <w:t>Wh</w:t>
      </w:r>
      <w:r>
        <w:rPr>
          <w:rFonts w:ascii="Georgia" w:eastAsiaTheme="minorEastAsia" w:hAnsi="Georgia" w:cstheme="minorBidi"/>
          <w:color w:val="000000" w:themeColor="text1"/>
          <w:kern w:val="24"/>
        </w:rPr>
        <w:t>at is an example</w:t>
      </w:r>
      <w:r w:rsidR="00BC2691" w:rsidRPr="00BC2691">
        <w:rPr>
          <w:rFonts w:ascii="Georgia" w:eastAsiaTheme="minorEastAsia" w:hAnsi="Georgia" w:cstheme="minorBidi"/>
          <w:color w:val="000000" w:themeColor="text1"/>
          <w:kern w:val="24"/>
        </w:rPr>
        <w:t xml:space="preserve"> of a natural meeting point within communities where caregivers may gather?</w:t>
      </w:r>
    </w:p>
    <w:p w14:paraId="35E98413" w14:textId="77777777" w:rsidR="00CD0F02" w:rsidRDefault="00CD0F02" w:rsidP="00BC2691">
      <w:pPr>
        <w:pStyle w:val="NormalWeb"/>
        <w:spacing w:before="0" w:beforeAutospacing="0" w:after="0" w:afterAutospacing="0"/>
        <w:rPr>
          <w:rFonts w:ascii="Georgia" w:eastAsiaTheme="minorEastAsia" w:hAnsi="Georgia" w:cstheme="minorBidi"/>
          <w:color w:val="000000" w:themeColor="text1"/>
          <w:kern w:val="24"/>
        </w:rPr>
      </w:pPr>
    </w:p>
    <w:p w14:paraId="278C0972" w14:textId="02B3223F" w:rsidR="00BC2691" w:rsidRDefault="00CD0F02" w:rsidP="00CD0F02">
      <w:pPr>
        <w:pStyle w:val="NormalWeb"/>
        <w:spacing w:before="0" w:beforeAutospacing="0" w:after="0" w:afterAutospacing="0"/>
        <w:ind w:left="720" w:firstLine="720"/>
        <w:rPr>
          <w:rFonts w:ascii="Georgia" w:eastAsiaTheme="minorEastAsia" w:hAnsi="Georgia" w:cstheme="minorBidi"/>
          <w:color w:val="000000" w:themeColor="text1"/>
          <w:kern w:val="24"/>
        </w:rPr>
      </w:pPr>
      <w:r>
        <w:rPr>
          <w:rFonts w:ascii="Georgia" w:eastAsiaTheme="minorEastAsia" w:hAnsi="Georgia" w:cstheme="minorBidi"/>
          <w:color w:val="000000" w:themeColor="text1"/>
          <w:kern w:val="24"/>
        </w:rPr>
        <w:t xml:space="preserve">Answer:  </w:t>
      </w:r>
      <w:r w:rsidR="00BC2691" w:rsidRPr="00BC2691">
        <w:rPr>
          <w:rFonts w:ascii="Georgia" w:eastAsiaTheme="minorEastAsia" w:hAnsi="Georgia" w:cstheme="minorBidi"/>
          <w:color w:val="000000" w:themeColor="text1"/>
          <w:kern w:val="24"/>
        </w:rPr>
        <w:t>Daycare centers</w:t>
      </w:r>
      <w:r>
        <w:rPr>
          <w:rFonts w:ascii="Georgia" w:eastAsiaTheme="minorEastAsia" w:hAnsi="Georgia" w:cstheme="minorBidi"/>
          <w:color w:val="000000" w:themeColor="text1"/>
          <w:kern w:val="24"/>
        </w:rPr>
        <w:t>, schools, churches, community centers</w:t>
      </w:r>
    </w:p>
    <w:p w14:paraId="796B59E0" w14:textId="77777777" w:rsidR="00CD0F02" w:rsidRPr="00BC2691" w:rsidRDefault="00CD0F02" w:rsidP="00CD0F02">
      <w:pPr>
        <w:pStyle w:val="NormalWeb"/>
        <w:spacing w:before="0" w:beforeAutospacing="0" w:after="0" w:afterAutospacing="0"/>
        <w:ind w:left="720" w:firstLine="720"/>
        <w:rPr>
          <w:rFonts w:ascii="Georgia" w:hAnsi="Georgia"/>
        </w:rPr>
      </w:pPr>
    </w:p>
    <w:p w14:paraId="42531B09" w14:textId="210B3D8E" w:rsidR="00BC2691" w:rsidRPr="00BC2691" w:rsidRDefault="00BC2691" w:rsidP="00CD0F02">
      <w:pPr>
        <w:pStyle w:val="NormalWeb"/>
        <w:numPr>
          <w:ilvl w:val="1"/>
          <w:numId w:val="11"/>
        </w:numPr>
        <w:spacing w:before="0" w:beforeAutospacing="0" w:after="0" w:afterAutospacing="0"/>
        <w:rPr>
          <w:rFonts w:ascii="Georgia" w:hAnsi="Georgia"/>
        </w:rPr>
      </w:pPr>
      <w:r w:rsidRPr="00BC2691">
        <w:rPr>
          <w:rFonts w:ascii="Georgia" w:eastAsiaTheme="minorEastAsia" w:hAnsi="Georgia" w:cstheme="minorBidi"/>
          <w:color w:val="000000" w:themeColor="text1"/>
          <w:kern w:val="24"/>
        </w:rPr>
        <w:t>How can soliciting input from caregivers help tailor support services to meet their needs?</w:t>
      </w:r>
    </w:p>
    <w:p w14:paraId="432EE3DB" w14:textId="77777777" w:rsidR="00CD0F02" w:rsidRDefault="00CD0F02" w:rsidP="00BC2691">
      <w:pPr>
        <w:pStyle w:val="NormalWeb"/>
        <w:spacing w:before="0" w:beforeAutospacing="0" w:after="0" w:afterAutospacing="0"/>
        <w:rPr>
          <w:rFonts w:ascii="Georgia" w:eastAsiaTheme="minorEastAsia" w:hAnsi="Georgia" w:cstheme="minorBidi"/>
          <w:color w:val="000000" w:themeColor="text1"/>
          <w:kern w:val="24"/>
        </w:rPr>
      </w:pPr>
    </w:p>
    <w:p w14:paraId="094100CD" w14:textId="5DCD2D8F" w:rsidR="00BC2691" w:rsidRPr="00BC2691" w:rsidRDefault="00CD0F02" w:rsidP="00CD0F02">
      <w:pPr>
        <w:pStyle w:val="NormalWeb"/>
        <w:spacing w:before="0" w:beforeAutospacing="0" w:after="0" w:afterAutospacing="0"/>
        <w:ind w:left="1440"/>
        <w:rPr>
          <w:rFonts w:ascii="Georgia" w:hAnsi="Georgia"/>
        </w:rPr>
      </w:pPr>
      <w:r>
        <w:rPr>
          <w:rFonts w:ascii="Georgia" w:eastAsiaTheme="minorEastAsia" w:hAnsi="Georgia" w:cstheme="minorBidi"/>
          <w:color w:val="000000" w:themeColor="text1"/>
          <w:kern w:val="24"/>
        </w:rPr>
        <w:t xml:space="preserve">Answer:  </w:t>
      </w:r>
      <w:r w:rsidR="00BC2691" w:rsidRPr="00BC2691">
        <w:rPr>
          <w:rFonts w:ascii="Georgia" w:eastAsiaTheme="minorEastAsia" w:hAnsi="Georgia" w:cstheme="minorBidi"/>
          <w:color w:val="000000" w:themeColor="text1"/>
          <w:kern w:val="24"/>
        </w:rPr>
        <w:t>It allows for the customization of support services based on caregivers' preferences.</w:t>
      </w:r>
    </w:p>
    <w:p w14:paraId="402F7A6B" w14:textId="77777777" w:rsidR="00CD0F02" w:rsidRDefault="00CD0F02" w:rsidP="00BC2691">
      <w:pPr>
        <w:pStyle w:val="NormalWeb"/>
        <w:spacing w:before="0" w:beforeAutospacing="0" w:after="0" w:afterAutospacing="0"/>
        <w:rPr>
          <w:rFonts w:ascii="Georgia" w:eastAsiaTheme="minorEastAsia" w:hAnsi="Georgia" w:cstheme="minorBidi"/>
          <w:color w:val="000000" w:themeColor="text1"/>
          <w:kern w:val="24"/>
        </w:rPr>
      </w:pPr>
    </w:p>
    <w:p w14:paraId="1DC87012" w14:textId="0EE9C462" w:rsidR="00BC2691" w:rsidRPr="00BC2691" w:rsidRDefault="00BC2691" w:rsidP="00CD0F02">
      <w:pPr>
        <w:pStyle w:val="NormalWeb"/>
        <w:numPr>
          <w:ilvl w:val="1"/>
          <w:numId w:val="11"/>
        </w:numPr>
        <w:spacing w:before="0" w:beforeAutospacing="0" w:after="0" w:afterAutospacing="0"/>
        <w:rPr>
          <w:rFonts w:ascii="Georgia" w:hAnsi="Georgia"/>
        </w:rPr>
      </w:pPr>
      <w:r w:rsidRPr="00BC2691">
        <w:rPr>
          <w:rFonts w:ascii="Georgia" w:eastAsiaTheme="minorEastAsia" w:hAnsi="Georgia" w:cstheme="minorBidi"/>
          <w:color w:val="000000" w:themeColor="text1"/>
          <w:kern w:val="24"/>
        </w:rPr>
        <w:t>Why is it essential to prioritize caregiver input in the decision-making process for support activities?</w:t>
      </w:r>
    </w:p>
    <w:p w14:paraId="0F0188C4" w14:textId="77777777" w:rsidR="00CD0F02" w:rsidRDefault="00CD0F02" w:rsidP="00BC2691">
      <w:pPr>
        <w:pStyle w:val="NormalWeb"/>
        <w:spacing w:before="0" w:beforeAutospacing="0" w:after="0" w:afterAutospacing="0"/>
        <w:rPr>
          <w:rFonts w:ascii="Georgia" w:eastAsiaTheme="minorEastAsia" w:hAnsi="Georgia" w:cstheme="minorBidi"/>
          <w:color w:val="000000" w:themeColor="text1"/>
          <w:kern w:val="24"/>
        </w:rPr>
      </w:pPr>
    </w:p>
    <w:p w14:paraId="2D8033D6" w14:textId="6D6ECFB5" w:rsidR="00BC2691" w:rsidRPr="00BC2691" w:rsidRDefault="00CD0F02" w:rsidP="00CD0F02">
      <w:pPr>
        <w:pStyle w:val="NormalWeb"/>
        <w:spacing w:before="0" w:beforeAutospacing="0" w:after="0" w:afterAutospacing="0"/>
        <w:ind w:left="1440"/>
        <w:rPr>
          <w:rFonts w:ascii="Georgia" w:hAnsi="Georgia"/>
        </w:rPr>
      </w:pPr>
      <w:r>
        <w:rPr>
          <w:rFonts w:ascii="Georgia" w:eastAsiaTheme="minorEastAsia" w:hAnsi="Georgia" w:cstheme="minorBidi"/>
          <w:color w:val="000000" w:themeColor="text1"/>
          <w:kern w:val="24"/>
        </w:rPr>
        <w:t xml:space="preserve">Answer:  </w:t>
      </w:r>
      <w:r w:rsidR="00BC2691" w:rsidRPr="00BC2691">
        <w:rPr>
          <w:rFonts w:ascii="Georgia" w:eastAsiaTheme="minorEastAsia" w:hAnsi="Georgia" w:cstheme="minorBidi"/>
          <w:color w:val="000000" w:themeColor="text1"/>
          <w:kern w:val="24"/>
        </w:rPr>
        <w:t>To empower caregivers and make support activities more relevant and responsive</w:t>
      </w:r>
    </w:p>
    <w:p w14:paraId="5B04ED07" w14:textId="2A5175A8" w:rsidR="00270A8E" w:rsidRPr="00270A8E" w:rsidRDefault="00270A8E" w:rsidP="00CD0F02">
      <w:pPr>
        <w:pStyle w:val="ListParagraph"/>
        <w:spacing w:before="52" w:line="314" w:lineRule="exact"/>
        <w:ind w:left="1800"/>
        <w:textAlignment w:val="baseline"/>
      </w:pPr>
    </w:p>
    <w:sectPr w:rsidR="00270A8E" w:rsidRPr="00270A8E" w:rsidSect="00FF66B7">
      <w:headerReference w:type="default" r:id="rId8"/>
      <w:footerReference w:type="default" r:id="rId9"/>
      <w:pgSz w:w="12240" w:h="15840"/>
      <w:pgMar w:top="1340" w:right="1750" w:bottom="917" w:left="167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956C2" w14:textId="77777777" w:rsidR="002D52BC" w:rsidRDefault="002D52BC" w:rsidP="002D52BC">
      <w:r>
        <w:separator/>
      </w:r>
    </w:p>
  </w:endnote>
  <w:endnote w:type="continuationSeparator" w:id="0">
    <w:p w14:paraId="6C9A3D5C" w14:textId="77777777" w:rsidR="002D52BC" w:rsidRDefault="002D52BC" w:rsidP="002D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931267352"/>
      <w:docPartObj>
        <w:docPartGallery w:val="Page Numbers (Bottom of Page)"/>
        <w:docPartUnique/>
      </w:docPartObj>
    </w:sdtPr>
    <w:sdtEndPr/>
    <w:sdtContent>
      <w:p w14:paraId="12087970" w14:textId="77777777" w:rsidR="002D52BC" w:rsidRDefault="002D52BC">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6A27871D" w14:textId="77777777" w:rsidR="002D52BC" w:rsidRDefault="002D5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2A320" w14:textId="77777777" w:rsidR="002D52BC" w:rsidRDefault="002D52BC" w:rsidP="002D52BC">
      <w:r>
        <w:separator/>
      </w:r>
    </w:p>
  </w:footnote>
  <w:footnote w:type="continuationSeparator" w:id="0">
    <w:p w14:paraId="7A897F73" w14:textId="77777777" w:rsidR="002D52BC" w:rsidRDefault="002D52BC" w:rsidP="002D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C3281" w14:textId="4C575CC6" w:rsidR="002D52BC" w:rsidRDefault="004D6961">
    <w:pPr>
      <w:pStyle w:val="Header"/>
    </w:pPr>
    <w:r>
      <w:t>Family Support Provider</w:t>
    </w:r>
    <w:r w:rsidR="002D52BC">
      <w:t xml:space="preserve"> Trainer Manual </w:t>
    </w:r>
    <w:r w:rsidR="002D52BC">
      <w:ptab w:relativeTo="margin" w:alignment="center" w:leader="none"/>
    </w:r>
    <w:r w:rsidR="002D52BC">
      <w:ptab w:relativeTo="margin" w:alignment="right" w:leader="none"/>
    </w:r>
    <w:r w:rsidR="002D52BC">
      <w:t xml:space="preserve">Session </w:t>
    </w:r>
    <w:r w:rsidR="006D30DD">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D0BE5"/>
    <w:multiLevelType w:val="hybridMultilevel"/>
    <w:tmpl w:val="EE1E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B589C"/>
    <w:multiLevelType w:val="hybridMultilevel"/>
    <w:tmpl w:val="B016E8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542C3"/>
    <w:multiLevelType w:val="multilevel"/>
    <w:tmpl w:val="D57A41F0"/>
    <w:lvl w:ilvl="0">
      <w:start w:val="1"/>
      <w:numFmt w:val="lowerLetter"/>
      <w:lvlText w:val="%1."/>
      <w:lvlJc w:val="left"/>
      <w:pPr>
        <w:tabs>
          <w:tab w:val="left" w:pos="360"/>
        </w:tabs>
        <w:ind w:left="720"/>
      </w:pPr>
      <w:rPr>
        <w:rFonts w:ascii="Times New Roman" w:eastAsia="Times New Roman" w:hAnsi="Times New Roman"/>
        <w:strike w:val="0"/>
        <w:color w:val="000000"/>
        <w:spacing w:val="-1"/>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550951"/>
    <w:multiLevelType w:val="hybridMultilevel"/>
    <w:tmpl w:val="0E52D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A595D"/>
    <w:multiLevelType w:val="hybridMultilevel"/>
    <w:tmpl w:val="3574F45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4F4CB6"/>
    <w:multiLevelType w:val="multilevel"/>
    <w:tmpl w:val="3B966344"/>
    <w:lvl w:ilvl="0">
      <w:start w:val="1"/>
      <w:numFmt w:val="decimal"/>
      <w:lvlText w:val="%1."/>
      <w:lvlJc w:val="left"/>
      <w:pPr>
        <w:tabs>
          <w:tab w:val="left" w:pos="360"/>
        </w:tabs>
        <w:ind w:left="720"/>
      </w:pPr>
      <w:rPr>
        <w:rFonts w:ascii="Times New Roman" w:eastAsia="Times New Roman" w:hAnsi="Times New Roman"/>
        <w:strike w:val="0"/>
        <w:color w:val="000000"/>
        <w:spacing w:val="-1"/>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4E6C2C"/>
    <w:multiLevelType w:val="multilevel"/>
    <w:tmpl w:val="2CFE915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8B03AE"/>
    <w:multiLevelType w:val="hybridMultilevel"/>
    <w:tmpl w:val="9C74AB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E9B2677"/>
    <w:multiLevelType w:val="multilevel"/>
    <w:tmpl w:val="93C68530"/>
    <w:lvl w:ilvl="0">
      <w:start w:val="1"/>
      <w:numFmt w:val="lowerLetter"/>
      <w:lvlText w:val="%1."/>
      <w:lvlJc w:val="left"/>
      <w:pPr>
        <w:tabs>
          <w:tab w:val="left" w:pos="720"/>
        </w:tabs>
        <w:ind w:left="108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2787F"/>
    <w:multiLevelType w:val="multilevel"/>
    <w:tmpl w:val="D520C216"/>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4315BC"/>
    <w:multiLevelType w:val="multilevel"/>
    <w:tmpl w:val="097050B4"/>
    <w:lvl w:ilvl="0">
      <w:start w:val="1"/>
      <w:numFmt w:val="bullet"/>
      <w:lvlText w:val="-"/>
      <w:lvlJc w:val="left"/>
      <w:pPr>
        <w:tabs>
          <w:tab w:val="left" w:pos="360"/>
        </w:tabs>
        <w:ind w:left="720"/>
      </w:pPr>
      <w:rPr>
        <w:rFonts w:ascii="Symbol" w:eastAsia="Symbol" w:hAnsi="Symbol"/>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7B5DA3"/>
    <w:multiLevelType w:val="hybridMultilevel"/>
    <w:tmpl w:val="A62084CA"/>
    <w:lvl w:ilvl="0" w:tplc="58263B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63E28"/>
    <w:multiLevelType w:val="hybridMultilevel"/>
    <w:tmpl w:val="8FC606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D25318E"/>
    <w:multiLevelType w:val="hybridMultilevel"/>
    <w:tmpl w:val="7074851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5ED97DA8"/>
    <w:multiLevelType w:val="hybridMultilevel"/>
    <w:tmpl w:val="C962733C"/>
    <w:lvl w:ilvl="0" w:tplc="26588BA0">
      <w:start w:val="1"/>
      <w:numFmt w:val="bullet"/>
      <w:lvlText w:val="•"/>
      <w:lvlJc w:val="left"/>
      <w:pPr>
        <w:tabs>
          <w:tab w:val="num" w:pos="720"/>
        </w:tabs>
        <w:ind w:left="720" w:hanging="360"/>
      </w:pPr>
      <w:rPr>
        <w:rFonts w:ascii="Arial" w:hAnsi="Arial" w:hint="default"/>
      </w:rPr>
    </w:lvl>
    <w:lvl w:ilvl="1" w:tplc="FC920E0A" w:tentative="1">
      <w:start w:val="1"/>
      <w:numFmt w:val="bullet"/>
      <w:lvlText w:val="•"/>
      <w:lvlJc w:val="left"/>
      <w:pPr>
        <w:tabs>
          <w:tab w:val="num" w:pos="1440"/>
        </w:tabs>
        <w:ind w:left="1440" w:hanging="360"/>
      </w:pPr>
      <w:rPr>
        <w:rFonts w:ascii="Arial" w:hAnsi="Arial" w:hint="default"/>
      </w:rPr>
    </w:lvl>
    <w:lvl w:ilvl="2" w:tplc="DD56A92A" w:tentative="1">
      <w:start w:val="1"/>
      <w:numFmt w:val="bullet"/>
      <w:lvlText w:val="•"/>
      <w:lvlJc w:val="left"/>
      <w:pPr>
        <w:tabs>
          <w:tab w:val="num" w:pos="2160"/>
        </w:tabs>
        <w:ind w:left="2160" w:hanging="360"/>
      </w:pPr>
      <w:rPr>
        <w:rFonts w:ascii="Arial" w:hAnsi="Arial" w:hint="default"/>
      </w:rPr>
    </w:lvl>
    <w:lvl w:ilvl="3" w:tplc="4E185EEA" w:tentative="1">
      <w:start w:val="1"/>
      <w:numFmt w:val="bullet"/>
      <w:lvlText w:val="•"/>
      <w:lvlJc w:val="left"/>
      <w:pPr>
        <w:tabs>
          <w:tab w:val="num" w:pos="2880"/>
        </w:tabs>
        <w:ind w:left="2880" w:hanging="360"/>
      </w:pPr>
      <w:rPr>
        <w:rFonts w:ascii="Arial" w:hAnsi="Arial" w:hint="default"/>
      </w:rPr>
    </w:lvl>
    <w:lvl w:ilvl="4" w:tplc="BCE66842" w:tentative="1">
      <w:start w:val="1"/>
      <w:numFmt w:val="bullet"/>
      <w:lvlText w:val="•"/>
      <w:lvlJc w:val="left"/>
      <w:pPr>
        <w:tabs>
          <w:tab w:val="num" w:pos="3600"/>
        </w:tabs>
        <w:ind w:left="3600" w:hanging="360"/>
      </w:pPr>
      <w:rPr>
        <w:rFonts w:ascii="Arial" w:hAnsi="Arial" w:hint="default"/>
      </w:rPr>
    </w:lvl>
    <w:lvl w:ilvl="5" w:tplc="1E46AA40" w:tentative="1">
      <w:start w:val="1"/>
      <w:numFmt w:val="bullet"/>
      <w:lvlText w:val="•"/>
      <w:lvlJc w:val="left"/>
      <w:pPr>
        <w:tabs>
          <w:tab w:val="num" w:pos="4320"/>
        </w:tabs>
        <w:ind w:left="4320" w:hanging="360"/>
      </w:pPr>
      <w:rPr>
        <w:rFonts w:ascii="Arial" w:hAnsi="Arial" w:hint="default"/>
      </w:rPr>
    </w:lvl>
    <w:lvl w:ilvl="6" w:tplc="FE0804C8" w:tentative="1">
      <w:start w:val="1"/>
      <w:numFmt w:val="bullet"/>
      <w:lvlText w:val="•"/>
      <w:lvlJc w:val="left"/>
      <w:pPr>
        <w:tabs>
          <w:tab w:val="num" w:pos="5040"/>
        </w:tabs>
        <w:ind w:left="5040" w:hanging="360"/>
      </w:pPr>
      <w:rPr>
        <w:rFonts w:ascii="Arial" w:hAnsi="Arial" w:hint="default"/>
      </w:rPr>
    </w:lvl>
    <w:lvl w:ilvl="7" w:tplc="B686A944" w:tentative="1">
      <w:start w:val="1"/>
      <w:numFmt w:val="bullet"/>
      <w:lvlText w:val="•"/>
      <w:lvlJc w:val="left"/>
      <w:pPr>
        <w:tabs>
          <w:tab w:val="num" w:pos="5760"/>
        </w:tabs>
        <w:ind w:left="5760" w:hanging="360"/>
      </w:pPr>
      <w:rPr>
        <w:rFonts w:ascii="Arial" w:hAnsi="Arial" w:hint="default"/>
      </w:rPr>
    </w:lvl>
    <w:lvl w:ilvl="8" w:tplc="106448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9C6F11"/>
    <w:multiLevelType w:val="hybridMultilevel"/>
    <w:tmpl w:val="9146CB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CE578B"/>
    <w:multiLevelType w:val="hybridMultilevel"/>
    <w:tmpl w:val="C1F43A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C021FBB"/>
    <w:multiLevelType w:val="multilevel"/>
    <w:tmpl w:val="21FC21E2"/>
    <w:lvl w:ilvl="0">
      <w:start w:val="1"/>
      <w:numFmt w:val="decimal"/>
      <w:lvlText w:val="%1."/>
      <w:lvlJc w:val="left"/>
      <w:pPr>
        <w:tabs>
          <w:tab w:val="left" w:pos="360"/>
        </w:tabs>
        <w:ind w:left="720"/>
      </w:pPr>
      <w:rPr>
        <w:rFonts w:ascii="Times New Roman" w:eastAsia="Times New Roman" w:hAnsi="Times New Roman"/>
        <w:strike w:val="0"/>
        <w:color w:val="000000"/>
        <w:spacing w:val="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D0A4032"/>
    <w:multiLevelType w:val="hybridMultilevel"/>
    <w:tmpl w:val="121051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EE43354"/>
    <w:multiLevelType w:val="multilevel"/>
    <w:tmpl w:val="D512C9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31852936">
    <w:abstractNumId w:val="2"/>
  </w:num>
  <w:num w:numId="2" w16cid:durableId="1158571848">
    <w:abstractNumId w:val="19"/>
  </w:num>
  <w:num w:numId="3" w16cid:durableId="1945266445">
    <w:abstractNumId w:val="8"/>
  </w:num>
  <w:num w:numId="4" w16cid:durableId="1310130845">
    <w:abstractNumId w:val="17"/>
  </w:num>
  <w:num w:numId="5" w16cid:durableId="448010847">
    <w:abstractNumId w:val="6"/>
  </w:num>
  <w:num w:numId="6" w16cid:durableId="334499997">
    <w:abstractNumId w:val="9"/>
  </w:num>
  <w:num w:numId="7" w16cid:durableId="1318681361">
    <w:abstractNumId w:val="5"/>
  </w:num>
  <w:num w:numId="8" w16cid:durableId="1944454276">
    <w:abstractNumId w:val="10"/>
  </w:num>
  <w:num w:numId="9" w16cid:durableId="1833330357">
    <w:abstractNumId w:val="16"/>
  </w:num>
  <w:num w:numId="10" w16cid:durableId="1571578938">
    <w:abstractNumId w:val="11"/>
  </w:num>
  <w:num w:numId="11" w16cid:durableId="1645889636">
    <w:abstractNumId w:val="4"/>
  </w:num>
  <w:num w:numId="12" w16cid:durableId="1826772497">
    <w:abstractNumId w:val="7"/>
  </w:num>
  <w:num w:numId="13" w16cid:durableId="83036704">
    <w:abstractNumId w:val="0"/>
  </w:num>
  <w:num w:numId="14" w16cid:durableId="162859820">
    <w:abstractNumId w:val="18"/>
  </w:num>
  <w:num w:numId="15" w16cid:durableId="1515415828">
    <w:abstractNumId w:val="15"/>
  </w:num>
  <w:num w:numId="16" w16cid:durableId="26030405">
    <w:abstractNumId w:val="3"/>
  </w:num>
  <w:num w:numId="17" w16cid:durableId="1088232498">
    <w:abstractNumId w:val="1"/>
  </w:num>
  <w:num w:numId="18" w16cid:durableId="1498112241">
    <w:abstractNumId w:val="12"/>
  </w:num>
  <w:num w:numId="19" w16cid:durableId="1392266322">
    <w:abstractNumId w:val="14"/>
  </w:num>
  <w:num w:numId="20" w16cid:durableId="13433207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BC"/>
    <w:rsid w:val="0001031E"/>
    <w:rsid w:val="000E22EA"/>
    <w:rsid w:val="0015780A"/>
    <w:rsid w:val="00166B21"/>
    <w:rsid w:val="001B23C8"/>
    <w:rsid w:val="002029EA"/>
    <w:rsid w:val="00260493"/>
    <w:rsid w:val="00270A8E"/>
    <w:rsid w:val="002D128B"/>
    <w:rsid w:val="002D52BC"/>
    <w:rsid w:val="004373F5"/>
    <w:rsid w:val="004D6961"/>
    <w:rsid w:val="005C78FC"/>
    <w:rsid w:val="005D640E"/>
    <w:rsid w:val="005E451A"/>
    <w:rsid w:val="0063779A"/>
    <w:rsid w:val="006D30DD"/>
    <w:rsid w:val="006E1C13"/>
    <w:rsid w:val="007720CE"/>
    <w:rsid w:val="009022D1"/>
    <w:rsid w:val="00A26E70"/>
    <w:rsid w:val="00AC196C"/>
    <w:rsid w:val="00B450D3"/>
    <w:rsid w:val="00B746B5"/>
    <w:rsid w:val="00BC2691"/>
    <w:rsid w:val="00CD0F02"/>
    <w:rsid w:val="00D55360"/>
    <w:rsid w:val="00DC3C11"/>
    <w:rsid w:val="00E445B1"/>
    <w:rsid w:val="00E8194C"/>
    <w:rsid w:val="00EE5110"/>
    <w:rsid w:val="00F43F55"/>
    <w:rsid w:val="00F737C1"/>
    <w:rsid w:val="00FB2B78"/>
    <w:rsid w:val="00FF66B7"/>
    <w:rsid w:val="00FF6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966171A"/>
  <w15:chartTrackingRefBased/>
  <w15:docId w15:val="{33F0B565-B9D2-430F-95A1-DC9D968A5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52BC"/>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52BC"/>
    <w:rPr>
      <w:color w:val="0563C1" w:themeColor="hyperlink"/>
      <w:u w:val="single"/>
    </w:rPr>
  </w:style>
  <w:style w:type="paragraph" w:styleId="Header">
    <w:name w:val="header"/>
    <w:basedOn w:val="Normal"/>
    <w:link w:val="HeaderChar"/>
    <w:uiPriority w:val="99"/>
    <w:unhideWhenUsed/>
    <w:rsid w:val="002D52BC"/>
    <w:pPr>
      <w:tabs>
        <w:tab w:val="center" w:pos="4680"/>
        <w:tab w:val="right" w:pos="9360"/>
      </w:tabs>
    </w:pPr>
  </w:style>
  <w:style w:type="character" w:customStyle="1" w:styleId="HeaderChar">
    <w:name w:val="Header Char"/>
    <w:basedOn w:val="DefaultParagraphFont"/>
    <w:link w:val="Header"/>
    <w:uiPriority w:val="99"/>
    <w:rsid w:val="002D52BC"/>
    <w:rPr>
      <w:rFonts w:ascii="Times New Roman" w:eastAsia="PMingLiU" w:hAnsi="Times New Roman" w:cs="Times New Roman"/>
    </w:rPr>
  </w:style>
  <w:style w:type="paragraph" w:styleId="Footer">
    <w:name w:val="footer"/>
    <w:basedOn w:val="Normal"/>
    <w:link w:val="FooterChar"/>
    <w:uiPriority w:val="99"/>
    <w:unhideWhenUsed/>
    <w:rsid w:val="002D52BC"/>
    <w:pPr>
      <w:tabs>
        <w:tab w:val="center" w:pos="4680"/>
        <w:tab w:val="right" w:pos="9360"/>
      </w:tabs>
    </w:pPr>
  </w:style>
  <w:style w:type="character" w:customStyle="1" w:styleId="FooterChar">
    <w:name w:val="Footer Char"/>
    <w:basedOn w:val="DefaultParagraphFont"/>
    <w:link w:val="Footer"/>
    <w:uiPriority w:val="99"/>
    <w:rsid w:val="002D52BC"/>
    <w:rPr>
      <w:rFonts w:ascii="Times New Roman" w:eastAsia="PMingLiU" w:hAnsi="Times New Roman" w:cs="Times New Roman"/>
    </w:rPr>
  </w:style>
  <w:style w:type="paragraph" w:styleId="ListParagraph">
    <w:name w:val="List Paragraph"/>
    <w:basedOn w:val="Normal"/>
    <w:uiPriority w:val="34"/>
    <w:qFormat/>
    <w:rsid w:val="002D52BC"/>
    <w:pPr>
      <w:ind w:left="720"/>
      <w:contextualSpacing/>
    </w:pPr>
  </w:style>
  <w:style w:type="paragraph" w:styleId="BalloonText">
    <w:name w:val="Balloon Text"/>
    <w:basedOn w:val="Normal"/>
    <w:link w:val="BalloonTextChar"/>
    <w:uiPriority w:val="99"/>
    <w:semiHidden/>
    <w:unhideWhenUsed/>
    <w:rsid w:val="001B23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3C8"/>
    <w:rPr>
      <w:rFonts w:ascii="Segoe UI" w:eastAsia="PMingLiU" w:hAnsi="Segoe UI" w:cs="Segoe UI"/>
      <w:sz w:val="18"/>
      <w:szCs w:val="18"/>
    </w:rPr>
  </w:style>
  <w:style w:type="paragraph" w:styleId="NormalWeb">
    <w:name w:val="Normal (Web)"/>
    <w:basedOn w:val="Normal"/>
    <w:uiPriority w:val="99"/>
    <w:semiHidden/>
    <w:unhideWhenUsed/>
    <w:rsid w:val="0001031E"/>
    <w:pPr>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0103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20219">
      <w:bodyDiv w:val="1"/>
      <w:marLeft w:val="0"/>
      <w:marRight w:val="0"/>
      <w:marTop w:val="0"/>
      <w:marBottom w:val="0"/>
      <w:divBdr>
        <w:top w:val="none" w:sz="0" w:space="0" w:color="auto"/>
        <w:left w:val="none" w:sz="0" w:space="0" w:color="auto"/>
        <w:bottom w:val="none" w:sz="0" w:space="0" w:color="auto"/>
        <w:right w:val="none" w:sz="0" w:space="0" w:color="auto"/>
      </w:divBdr>
    </w:div>
    <w:div w:id="143399353">
      <w:bodyDiv w:val="1"/>
      <w:marLeft w:val="0"/>
      <w:marRight w:val="0"/>
      <w:marTop w:val="0"/>
      <w:marBottom w:val="0"/>
      <w:divBdr>
        <w:top w:val="none" w:sz="0" w:space="0" w:color="auto"/>
        <w:left w:val="none" w:sz="0" w:space="0" w:color="auto"/>
        <w:bottom w:val="none" w:sz="0" w:space="0" w:color="auto"/>
        <w:right w:val="none" w:sz="0" w:space="0" w:color="auto"/>
      </w:divBdr>
    </w:div>
    <w:div w:id="373384328">
      <w:bodyDiv w:val="1"/>
      <w:marLeft w:val="0"/>
      <w:marRight w:val="0"/>
      <w:marTop w:val="0"/>
      <w:marBottom w:val="0"/>
      <w:divBdr>
        <w:top w:val="none" w:sz="0" w:space="0" w:color="auto"/>
        <w:left w:val="none" w:sz="0" w:space="0" w:color="auto"/>
        <w:bottom w:val="none" w:sz="0" w:space="0" w:color="auto"/>
        <w:right w:val="none" w:sz="0" w:space="0" w:color="auto"/>
      </w:divBdr>
    </w:div>
    <w:div w:id="893931357">
      <w:bodyDiv w:val="1"/>
      <w:marLeft w:val="0"/>
      <w:marRight w:val="0"/>
      <w:marTop w:val="0"/>
      <w:marBottom w:val="0"/>
      <w:divBdr>
        <w:top w:val="none" w:sz="0" w:space="0" w:color="auto"/>
        <w:left w:val="none" w:sz="0" w:space="0" w:color="auto"/>
        <w:bottom w:val="none" w:sz="0" w:space="0" w:color="auto"/>
        <w:right w:val="none" w:sz="0" w:space="0" w:color="auto"/>
      </w:divBdr>
    </w:div>
    <w:div w:id="1046373278">
      <w:bodyDiv w:val="1"/>
      <w:marLeft w:val="0"/>
      <w:marRight w:val="0"/>
      <w:marTop w:val="0"/>
      <w:marBottom w:val="0"/>
      <w:divBdr>
        <w:top w:val="none" w:sz="0" w:space="0" w:color="auto"/>
        <w:left w:val="none" w:sz="0" w:space="0" w:color="auto"/>
        <w:bottom w:val="none" w:sz="0" w:space="0" w:color="auto"/>
        <w:right w:val="none" w:sz="0" w:space="0" w:color="auto"/>
      </w:divBdr>
    </w:div>
    <w:div w:id="1091201063">
      <w:bodyDiv w:val="1"/>
      <w:marLeft w:val="0"/>
      <w:marRight w:val="0"/>
      <w:marTop w:val="0"/>
      <w:marBottom w:val="0"/>
      <w:divBdr>
        <w:top w:val="none" w:sz="0" w:space="0" w:color="auto"/>
        <w:left w:val="none" w:sz="0" w:space="0" w:color="auto"/>
        <w:bottom w:val="none" w:sz="0" w:space="0" w:color="auto"/>
        <w:right w:val="none" w:sz="0" w:space="0" w:color="auto"/>
      </w:divBdr>
    </w:div>
    <w:div w:id="1388383072">
      <w:bodyDiv w:val="1"/>
      <w:marLeft w:val="0"/>
      <w:marRight w:val="0"/>
      <w:marTop w:val="0"/>
      <w:marBottom w:val="0"/>
      <w:divBdr>
        <w:top w:val="none" w:sz="0" w:space="0" w:color="auto"/>
        <w:left w:val="none" w:sz="0" w:space="0" w:color="auto"/>
        <w:bottom w:val="none" w:sz="0" w:space="0" w:color="auto"/>
        <w:right w:val="none" w:sz="0" w:space="0" w:color="auto"/>
      </w:divBdr>
    </w:div>
    <w:div w:id="1437939719">
      <w:bodyDiv w:val="1"/>
      <w:marLeft w:val="0"/>
      <w:marRight w:val="0"/>
      <w:marTop w:val="0"/>
      <w:marBottom w:val="0"/>
      <w:divBdr>
        <w:top w:val="none" w:sz="0" w:space="0" w:color="auto"/>
        <w:left w:val="none" w:sz="0" w:space="0" w:color="auto"/>
        <w:bottom w:val="none" w:sz="0" w:space="0" w:color="auto"/>
        <w:right w:val="none" w:sz="0" w:space="0" w:color="auto"/>
      </w:divBdr>
    </w:div>
    <w:div w:id="184813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EF35D-A3D1-4A65-9F87-47A710C7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9</cp:revision>
  <cp:lastPrinted>2019-07-09T20:58:00Z</cp:lastPrinted>
  <dcterms:created xsi:type="dcterms:W3CDTF">2024-04-13T15:29:00Z</dcterms:created>
  <dcterms:modified xsi:type="dcterms:W3CDTF">2024-05-17T19:59:00Z</dcterms:modified>
</cp:coreProperties>
</file>